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pPr>
        <w:rPr>
          <w:rFonts w:asciiTheme="minorEastAsia" w:hAnsiTheme="minorEastAsia" w:cstheme="minorEastAsia"/>
          <w:sz w:val="44"/>
          <w:szCs w:val="44"/>
        </w:rPr>
      </w:pPr>
    </w:p>
    <w:p>
      <w:pPr>
        <w:keepNext w:val="0"/>
        <w:keepLines w:val="0"/>
        <w:widowControl/>
        <w:suppressLineNumbers w:val="0"/>
        <w:jc w:val="center"/>
        <w:rPr>
          <w:rFonts w:hint="eastAsia" w:asciiTheme="minorEastAsia" w:hAnsiTheme="minorEastAsia" w:cstheme="minorEastAsia"/>
          <w:sz w:val="44"/>
          <w:szCs w:val="44"/>
        </w:rPr>
      </w:pPr>
      <w:r>
        <w:rPr>
          <w:rFonts w:ascii="Times New Roman" w:hAnsi="Times New Roman" w:eastAsia="仿宋_GB2312" w:cs="Times New Roman"/>
          <w:spacing w:val="-6"/>
          <w:sz w:val="44"/>
          <w:szCs w:val="20"/>
        </w:rPr>
        <mc:AlternateContent>
          <mc:Choice Requires="wps">
            <w:drawing>
              <wp:anchor distT="0" distB="0" distL="114300" distR="114300" simplePos="0" relativeHeight="251664384" behindDoc="0" locked="0" layoutInCell="1" allowOverlap="1">
                <wp:simplePos x="0" y="0"/>
                <wp:positionH relativeFrom="column">
                  <wp:posOffset>-2147483640</wp:posOffset>
                </wp:positionH>
                <wp:positionV relativeFrom="paragraph">
                  <wp:posOffset>-2147483640</wp:posOffset>
                </wp:positionV>
                <wp:extent cx="0" cy="471805"/>
                <wp:effectExtent l="0" t="0" r="0" b="0"/>
                <wp:wrapNone/>
                <wp:docPr id="9" name="矩形 9"/>
                <wp:cNvGraphicFramePr/>
                <a:graphic xmlns:a="http://schemas.openxmlformats.org/drawingml/2006/main">
                  <a:graphicData uri="http://schemas.microsoft.com/office/word/2010/wordprocessingShape">
                    <wps:wsp>
                      <wps:cNvSpPr/>
                      <wps:spPr>
                        <a:xfrm>
                          <a:off x="0" y="0"/>
                          <a:ext cx="0" cy="471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Times New Roman" w:hAnsi="Times New Roman" w:eastAsia="仿宋_GB2312" w:cs="Times New Roman"/>
                                <w:spacing w:val="-6"/>
                                <w:sz w:val="32"/>
                                <w:szCs w:val="20"/>
                              </w:rPr>
                            </w:pPr>
                          </w:p>
                        </w:txbxContent>
                      </wps:txbx>
                      <wps:bodyPr upright="1"/>
                    </wps:wsp>
                  </a:graphicData>
                </a:graphic>
              </wp:anchor>
            </w:drawing>
          </mc:Choice>
          <mc:Fallback>
            <w:pict>
              <v:rect id="_x0000_s1026" o:spid="_x0000_s1026" o:spt="1" style="position:absolute;left:0pt;margin-left:-169093.2pt;margin-top:-169093.2pt;height:37.15pt;width:0pt;z-index:251664384;mso-width-relative:page;mso-height-relative:page;" fillcolor="#FFFFFF" filled="t" stroked="t" coordsize="21600,21600" o:gfxdata="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Cgif9cAAAAbAQAADwAAAAAAAAABACAAAAAiAAAAZHJzL2Rvd25yZXYueG1s&#10;UEsBAhQAFAAAAAgAh07iQPoZSjr5AQAAIwQAAA4AAAAAAAAAAQAgAAAAJgEAAGRycy9lMm9Eb2Mu&#10;eG1sUEsFBgAAAAAGAAYAWQEAAJEFAAAAAA==&#10;">
                <v:fill on="t" focussize="0,0"/>
                <v:stroke color="#000000" joinstyle="miter"/>
                <v:imagedata o:title=""/>
                <o:lock v:ext="edit" aspectratio="f"/>
                <v:textbox>
                  <w:txbxContent>
                    <w:p>
                      <w:pPr>
                        <w:spacing w:line="240" w:lineRule="atLeast"/>
                        <w:rPr>
                          <w:rFonts w:ascii="Times New Roman" w:hAnsi="Times New Roman" w:eastAsia="仿宋_GB2312" w:cs="Times New Roman"/>
                          <w:spacing w:val="-6"/>
                          <w:sz w:val="32"/>
                          <w:szCs w:val="20"/>
                        </w:rPr>
                      </w:pPr>
                    </w:p>
                  </w:txbxContent>
                </v:textbox>
              </v:rect>
            </w:pict>
          </mc:Fallback>
        </mc:AlternateContent>
      </w:r>
      <w:r>
        <w:rPr>
          <w:rFonts w:ascii="Times New Roman" w:hAnsi="Times New Roman" w:eastAsia="仿宋_GB2312" w:cs="Times New Roman"/>
          <w:spacing w:val="-6"/>
          <w:sz w:val="44"/>
          <w:szCs w:val="20"/>
        </w:rPr>
        <mc:AlternateContent>
          <mc:Choice Requires="wps">
            <w:drawing>
              <wp:anchor distT="0" distB="0" distL="114300" distR="114300" simplePos="0" relativeHeight="251663360" behindDoc="0" locked="0" layoutInCell="1" allowOverlap="1">
                <wp:simplePos x="0" y="0"/>
                <wp:positionH relativeFrom="column">
                  <wp:posOffset>-2147483640</wp:posOffset>
                </wp:positionH>
                <wp:positionV relativeFrom="paragraph">
                  <wp:posOffset>-2147483640</wp:posOffset>
                </wp:positionV>
                <wp:extent cx="0" cy="471805"/>
                <wp:effectExtent l="0" t="0" r="0" b="0"/>
                <wp:wrapNone/>
                <wp:docPr id="2" name="矩形 2"/>
                <wp:cNvGraphicFramePr/>
                <a:graphic xmlns:a="http://schemas.openxmlformats.org/drawingml/2006/main">
                  <a:graphicData uri="http://schemas.microsoft.com/office/word/2010/wordprocessingShape">
                    <wps:wsp>
                      <wps:cNvSpPr/>
                      <wps:spPr>
                        <a:xfrm>
                          <a:off x="0" y="0"/>
                          <a:ext cx="0" cy="471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■钟俊元 ■陆坎凯 </w:t>
                            </w:r>
                          </w:p>
                        </w:txbxContent>
                      </wps:txbx>
                      <wps:bodyPr upright="1"/>
                    </wps:wsp>
                  </a:graphicData>
                </a:graphic>
              </wp:anchor>
            </w:drawing>
          </mc:Choice>
          <mc:Fallback>
            <w:pict>
              <v:rect id="_x0000_s1026" o:spid="_x0000_s1026" o:spt="1" style="position:absolute;left:0pt;margin-left:-169093.2pt;margin-top:-169093.2pt;height:37.15pt;width:0pt;z-index:251663360;mso-width-relative:page;mso-height-relative:page;" fillcolor="#FFFFFF" filled="t" stroked="t" coordsize="21600,21600" o:gfxdata="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Cgif9cAAAAbAQAADwAAAAAAAAABACAAAAAiAAAAZHJzL2Rvd25yZXYueG1s&#10;UEsBAhQAFAAAAAgAh07iQHyHtpD5AQAAIwQAAA4AAAAAAAAAAQAgAAAAJgEAAGRycy9lMm9Eb2Mu&#10;eG1sUEsFBgAAAAAGAAYAWQEAAJEFAAAAAA==&#10;">
                <v:fill on="t" focussize="0,0"/>
                <v:stroke color="#000000" joinstyle="miter"/>
                <v:imagedata o:title=""/>
                <o:lock v:ext="edit" aspectratio="f"/>
                <v:textbo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■钟俊元 ■陆坎凯 </w:t>
                      </w:r>
                    </w:p>
                  </w:txbxContent>
                </v:textbox>
              </v:rect>
            </w:pict>
          </mc:Fallback>
        </mc:AlternateContent>
      </w:r>
      <w:r>
        <w:rPr>
          <w:rFonts w:ascii="Times New Roman" w:hAnsi="Times New Roman" w:eastAsia="仿宋_GB2312" w:cs="Times New Roman"/>
          <w:spacing w:val="-6"/>
          <w:sz w:val="44"/>
          <w:szCs w:val="20"/>
        </w:rPr>
        <mc:AlternateContent>
          <mc:Choice Requires="wps">
            <w:drawing>
              <wp:anchor distT="0" distB="0" distL="114300" distR="114300" simplePos="0" relativeHeight="251662336" behindDoc="0" locked="0" layoutInCell="1" allowOverlap="1">
                <wp:simplePos x="0" y="0"/>
                <wp:positionH relativeFrom="column">
                  <wp:posOffset>-2147483640</wp:posOffset>
                </wp:positionH>
                <wp:positionV relativeFrom="paragraph">
                  <wp:posOffset>-2147483640</wp:posOffset>
                </wp:positionV>
                <wp:extent cx="0" cy="471805"/>
                <wp:effectExtent l="0" t="0" r="0" b="0"/>
                <wp:wrapNone/>
                <wp:docPr id="7" name="矩形 7"/>
                <wp:cNvGraphicFramePr/>
                <a:graphic xmlns:a="http://schemas.openxmlformats.org/drawingml/2006/main">
                  <a:graphicData uri="http://schemas.microsoft.com/office/word/2010/wordprocessingShape">
                    <wps:wsp>
                      <wps:cNvSpPr/>
                      <wps:spPr>
                        <a:xfrm>
                          <a:off x="0" y="0"/>
                          <a:ext cx="0" cy="471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w:t>
                            </w:r>
                          </w:p>
                        </w:txbxContent>
                      </wps:txbx>
                      <wps:bodyPr upright="1"/>
                    </wps:wsp>
                  </a:graphicData>
                </a:graphic>
              </wp:anchor>
            </w:drawing>
          </mc:Choice>
          <mc:Fallback>
            <w:pict>
              <v:rect id="_x0000_s1026" o:spid="_x0000_s1026" o:spt="1" style="position:absolute;left:0pt;margin-left:-169093.2pt;margin-top:-169093.2pt;height:37.15pt;width:0pt;z-index:251662336;mso-width-relative:page;mso-height-relative:page;" fillcolor="#FFFFFF" filled="t" stroked="t" coordsize="21600,21600" o:gfxdata="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woIn/XAAAAGwEAAA8AAAAAAAAAAQAgAAAAIgAAAGRycy9kb3ducmV2Lnht&#10;bFBLAQIUABQAAAAIAIdO4kARsCz9+gEAACMEAAAOAAAAAAAAAAEAIAAAACYBAABkcnMvZTJvRG9j&#10;LnhtbFBLBQYAAAAABgAGAFkBAACSBQAAAAA=&#10;">
                <v:fill on="t" focussize="0,0"/>
                <v:stroke color="#000000" joinstyle="miter"/>
                <v:imagedata o:title=""/>
                <o:lock v:ext="edit" aspectratio="f"/>
                <v:textbo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w:t>
                      </w:r>
                    </w:p>
                  </w:txbxContent>
                </v:textbox>
              </v:rect>
            </w:pict>
          </mc:Fallback>
        </mc:AlternateContent>
      </w:r>
      <w:r>
        <w:rPr>
          <w:rFonts w:hint="eastAsia" w:ascii="Times New Roman" w:hAnsi="Times New Roman" w:eastAsia="仿宋_GB2312" w:cs="Times New Roman"/>
          <w:spacing w:val="-6"/>
          <w:sz w:val="44"/>
          <w:szCs w:val="20"/>
        </w:rPr>
        <w:t xml:space="preserve">  </w:t>
      </w:r>
      <w:r>
        <w:rPr>
          <w:rFonts w:hint="eastAsia" w:asciiTheme="minorEastAsia" w:hAnsiTheme="minorEastAsia" w:cstheme="minorEastAsia"/>
          <w:sz w:val="44"/>
          <w:szCs w:val="44"/>
          <w:lang w:val="en-US" w:eastAsia="zh-CN"/>
        </w:rPr>
        <w:t>杭州市城市古树名木保护管理办法</w:t>
      </w:r>
    </w:p>
    <w:p>
      <w:pPr>
        <w:snapToGrid w:val="0"/>
        <w:jc w:val="both"/>
        <w:rPr>
          <w:rFonts w:asciiTheme="minorEastAsia" w:hAnsiTheme="minorEastAsia" w:cstheme="minorEastAsia"/>
          <w:sz w:val="44"/>
          <w:szCs w:val="44"/>
        </w:rPr>
      </w:pPr>
    </w:p>
    <w:p>
      <w:pPr>
        <w:ind w:firstLine="640" w:firstLineChars="200"/>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（202</w:t>
      </w:r>
      <w:r>
        <w:rPr>
          <w:rFonts w:hint="eastAsia" w:ascii="楷体_GB2312" w:hAnsi="楷体_GB2312" w:eastAsia="楷体_GB2312" w:cs="楷体_GB2312"/>
          <w:sz w:val="32"/>
          <w:szCs w:val="32"/>
          <w:shd w:val="clear" w:color="auto" w:fill="FFFFFF"/>
          <w:lang w:val="en-US" w:eastAsia="zh-CN"/>
        </w:rPr>
        <w:t>3</w:t>
      </w:r>
      <w:r>
        <w:rPr>
          <w:rFonts w:hint="eastAsia" w:ascii="楷体_GB2312" w:hAnsi="楷体_GB2312" w:eastAsia="楷体_GB2312" w:cs="楷体_GB2312"/>
          <w:sz w:val="32"/>
          <w:szCs w:val="32"/>
          <w:shd w:val="clear" w:color="auto" w:fill="FFFFFF"/>
        </w:rPr>
        <w:t>年</w:t>
      </w:r>
      <w:r>
        <w:rPr>
          <w:rFonts w:hint="eastAsia" w:ascii="楷体_GB2312" w:hAnsi="楷体_GB2312" w:eastAsia="楷体_GB2312" w:cs="楷体_GB2312"/>
          <w:sz w:val="32"/>
          <w:szCs w:val="32"/>
          <w:shd w:val="clear" w:color="auto" w:fill="FFFFFF"/>
          <w:lang w:val="en-US" w:eastAsia="zh-CN"/>
        </w:rPr>
        <w:t>12</w:t>
      </w:r>
      <w:r>
        <w:rPr>
          <w:rFonts w:hint="eastAsia" w:ascii="楷体_GB2312" w:hAnsi="楷体_GB2312" w:eastAsia="楷体_GB2312" w:cs="楷体_GB2312"/>
          <w:sz w:val="32"/>
          <w:szCs w:val="32"/>
          <w:shd w:val="clear" w:color="auto" w:fill="FFFFFF"/>
        </w:rPr>
        <w:t>月</w:t>
      </w:r>
      <w:r>
        <w:rPr>
          <w:rFonts w:hint="eastAsia" w:ascii="楷体_GB2312" w:hAnsi="楷体_GB2312" w:eastAsia="楷体_GB2312" w:cs="楷体_GB2312"/>
          <w:sz w:val="32"/>
          <w:szCs w:val="32"/>
          <w:shd w:val="clear" w:color="auto" w:fill="FFFFFF"/>
          <w:lang w:val="en-US" w:eastAsia="zh-CN"/>
        </w:rPr>
        <w:t>6</w:t>
      </w:r>
      <w:r>
        <w:rPr>
          <w:rFonts w:hint="eastAsia" w:ascii="楷体_GB2312" w:hAnsi="楷体_GB2312" w:eastAsia="楷体_GB2312" w:cs="楷体_GB2312"/>
          <w:sz w:val="32"/>
          <w:szCs w:val="32"/>
          <w:shd w:val="clear" w:color="auto" w:fill="FFFFFF"/>
        </w:rPr>
        <w:t>日杭州市人民政府令第3</w:t>
      </w:r>
      <w:r>
        <w:rPr>
          <w:rFonts w:hint="eastAsia" w:ascii="楷体_GB2312" w:hAnsi="楷体_GB2312" w:eastAsia="楷体_GB2312" w:cs="楷体_GB2312"/>
          <w:sz w:val="32"/>
          <w:szCs w:val="32"/>
          <w:shd w:val="clear" w:color="auto" w:fill="FFFFFF"/>
          <w:lang w:val="en-US" w:eastAsia="zh-CN"/>
        </w:rPr>
        <w:t>46</w:t>
      </w:r>
      <w:r>
        <w:rPr>
          <w:rFonts w:hint="eastAsia" w:ascii="楷体_GB2312" w:hAnsi="楷体_GB2312" w:eastAsia="楷体_GB2312" w:cs="楷体_GB2312"/>
          <w:sz w:val="32"/>
          <w:szCs w:val="32"/>
          <w:shd w:val="clear" w:color="auto" w:fill="FFFFFF"/>
        </w:rPr>
        <w:t xml:space="preserve">号公布 </w:t>
      </w:r>
      <w:r>
        <w:rPr>
          <w:rFonts w:hint="eastAsia" w:ascii="楷体_GB2312" w:hAnsi="楷体_GB2312" w:eastAsia="楷体_GB2312" w:cs="楷体_GB2312"/>
          <w:sz w:val="32"/>
          <w:szCs w:val="32"/>
          <w:shd w:val="clear" w:color="auto" w:fill="FFFFFF"/>
          <w:lang w:val="en-US" w:eastAsia="zh-CN"/>
        </w:rPr>
        <w:t xml:space="preserve"> 自2024年2月1日起施行</w:t>
      </w:r>
      <w:r>
        <w:rPr>
          <w:rFonts w:hint="eastAsia" w:ascii="楷体_GB2312" w:hAnsi="楷体_GB2312" w:eastAsia="楷体_GB2312" w:cs="楷体_GB2312"/>
          <w:sz w:val="32"/>
          <w:szCs w:val="32"/>
          <w:shd w:val="clear" w:color="auto" w:fill="FFFFFF"/>
        </w:rPr>
        <w:t>）</w:t>
      </w:r>
    </w:p>
    <w:p>
      <w:pPr>
        <w:snapToGrid w:val="0"/>
        <w:spacing w:line="336" w:lineRule="auto"/>
        <w:rPr>
          <w:rFonts w:ascii="黑体" w:hAnsi="黑体" w:eastAsia="黑体" w:cs="Times New Roman"/>
          <w:spacing w:val="-6"/>
          <w:sz w:val="32"/>
          <w:szCs w:val="20"/>
        </w:rPr>
      </w:pPr>
    </w:p>
    <w:p>
      <w:pPr>
        <w:keepNext w:val="0"/>
        <w:keepLines w:val="0"/>
        <w:pageBreakBefore w:val="0"/>
        <w:shd w:val="clear" w:color="auto" w:fill="FFFFFF"/>
        <w:kinsoku/>
        <w:wordWrap/>
        <w:overflowPunct/>
        <w:topLinePunct w:val="0"/>
        <w:adjustRightInd/>
        <w:snapToGrid w:val="0"/>
        <w:spacing w:line="336" w:lineRule="auto"/>
        <w:ind w:left="0" w:leftChars="0" w:right="0" w:rightChars="0" w:firstLineChars="200"/>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b w:val="0"/>
          <w:color w:val="000000"/>
          <w:kern w:val="0"/>
          <w:sz w:val="32"/>
          <w:szCs w:val="32"/>
          <w:lang w:bidi="ar"/>
        </w:rPr>
        <w:t>第</w:t>
      </w:r>
      <w:r>
        <w:rPr>
          <w:rFonts w:hint="eastAsia" w:ascii="黑体" w:hAnsi="宋体" w:eastAsia="黑体" w:cs="黑体"/>
          <w:b w:val="0"/>
          <w:color w:val="000000"/>
          <w:spacing w:val="0"/>
          <w:kern w:val="0"/>
          <w:sz w:val="32"/>
          <w:szCs w:val="32"/>
          <w:lang w:bidi="ar"/>
        </w:rPr>
        <w:t>一条</w:t>
      </w:r>
      <w:r>
        <w:rPr>
          <w:rFonts w:hint="eastAsia" w:ascii="宋体" w:hAnsi="宋体"/>
          <w:b/>
          <w:color w:val="000000"/>
          <w:spacing w:val="-6"/>
          <w:kern w:val="2"/>
          <w:sz w:val="32"/>
        </w:rPr>
        <w:t xml:space="preserve">  </w:t>
      </w:r>
      <w:r>
        <w:rPr>
          <w:rFonts w:hint="eastAsia" w:ascii="仿宋_GB2312" w:hAnsi="仿宋_GB2312" w:eastAsia="仿宋_GB2312" w:cs="仿宋_GB2312"/>
          <w:color w:val="333333"/>
          <w:spacing w:val="0"/>
          <w:kern w:val="0"/>
          <w:sz w:val="32"/>
          <w:szCs w:val="32"/>
          <w:shd w:val="clear" w:color="auto" w:fill="FFFFFF"/>
          <w:lang w:bidi="ar"/>
        </w:rPr>
        <w:t>为了保护古树名木和古树后续资源，促进生态文明建设，根据《城市绿化条例》《杭州市城市绿化管理条例》等法律、法规的规定，结合本市实际，制定本办法。</w:t>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b w:val="0"/>
          <w:color w:val="000000"/>
          <w:spacing w:val="0"/>
          <w:kern w:val="0"/>
          <w:sz w:val="32"/>
          <w:szCs w:val="32"/>
          <w:lang w:bidi="ar"/>
        </w:rPr>
        <w:t>第二条</w:t>
      </w:r>
      <w:r>
        <w:rPr>
          <w:rFonts w:hint="eastAsia" w:ascii="宋体" w:hAnsi="宋体"/>
          <w:b/>
          <w:color w:val="000000"/>
          <w:spacing w:val="-6"/>
          <w:kern w:val="2"/>
          <w:sz w:val="32"/>
        </w:rPr>
        <w:t xml:space="preserve"> </w:t>
      </w:r>
      <w:r>
        <w:rPr>
          <w:rFonts w:hint="eastAsia" w:ascii="宋体" w:hAnsi="宋体"/>
          <w:color w:val="000000"/>
          <w:spacing w:val="-6"/>
          <w:kern w:val="2"/>
          <w:sz w:val="32"/>
        </w:rPr>
        <w:t xml:space="preserve"> </w:t>
      </w:r>
      <w:r>
        <w:rPr>
          <w:rFonts w:hint="eastAsia" w:ascii="仿宋_GB2312" w:hAnsi="仿宋_GB2312" w:eastAsia="仿宋_GB2312" w:cs="仿宋_GB2312"/>
          <w:color w:val="333333"/>
          <w:spacing w:val="0"/>
          <w:kern w:val="0"/>
          <w:sz w:val="32"/>
          <w:szCs w:val="32"/>
          <w:shd w:val="clear" w:color="auto" w:fill="FFFFFF"/>
          <w:lang w:bidi="ar"/>
        </w:rPr>
        <w:t>本市行政区域城市绿化范围内古树名木和古树后续资源的保护管理活动，适用本办法。</w:t>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有关法律、法规规定由林业等行政主管部门依照职责开展的非城市绿化范围内的古树名木和古树后续资源保护管理工作，依照有关法律、法规执行。</w:t>
      </w:r>
    </w:p>
    <w:p>
      <w:pPr>
        <w:keepNext w:val="0"/>
        <w:keepLines w:val="0"/>
        <w:pageBreakBefore w:val="0"/>
        <w:kinsoku/>
        <w:wordWrap/>
        <w:overflowPunct/>
        <w:topLinePunct w:val="0"/>
        <w:adjustRightInd/>
        <w:snapToGrid w:val="0"/>
        <w:spacing w:line="336" w:lineRule="auto"/>
        <w:ind w:left="0" w:leftChars="0" w:right="0" w:rightChars="0" w:firstLineChars="200"/>
        <w:textAlignment w:val="auto"/>
        <w:outlineLvl w:val="9"/>
        <w:rPr>
          <w:rFonts w:hint="eastAsia" w:ascii="宋体" w:hAnsi="宋体"/>
          <w:color w:val="000000"/>
          <w:spacing w:val="-6"/>
          <w:kern w:val="2"/>
          <w:sz w:val="32"/>
        </w:rPr>
      </w:pPr>
      <w:r>
        <w:rPr>
          <w:rFonts w:hint="eastAsia" w:ascii="黑体" w:hAnsi="宋体" w:eastAsia="黑体" w:cs="黑体"/>
          <w:b w:val="0"/>
          <w:color w:val="000000"/>
          <w:spacing w:val="0"/>
          <w:kern w:val="0"/>
          <w:sz w:val="32"/>
          <w:szCs w:val="32"/>
          <w:lang w:bidi="ar"/>
        </w:rPr>
        <w:t>第三条</w:t>
      </w:r>
      <w:r>
        <w:rPr>
          <w:rFonts w:hint="eastAsia" w:ascii="黑体" w:hAnsi="黑体" w:eastAsia="黑体"/>
          <w:b w:val="0"/>
          <w:color w:val="000000"/>
          <w:spacing w:val="-6"/>
          <w:kern w:val="2"/>
          <w:sz w:val="32"/>
        </w:rPr>
        <w:t xml:space="preserve"> </w:t>
      </w:r>
      <w:r>
        <w:rPr>
          <w:rFonts w:hint="eastAsia" w:ascii="宋体" w:hAnsi="宋体"/>
          <w:b/>
          <w:color w:val="000000"/>
          <w:spacing w:val="-6"/>
          <w:kern w:val="2"/>
          <w:sz w:val="32"/>
        </w:rPr>
        <w:t xml:space="preserve"> </w:t>
      </w:r>
      <w:r>
        <w:rPr>
          <w:rFonts w:hint="eastAsia" w:ascii="仿宋_GB2312" w:hAnsi="仿宋_GB2312" w:eastAsia="仿宋_GB2312" w:cs="仿宋_GB2312"/>
          <w:color w:val="333333"/>
          <w:spacing w:val="0"/>
          <w:kern w:val="0"/>
          <w:sz w:val="32"/>
          <w:szCs w:val="32"/>
          <w:shd w:val="clear" w:color="auto" w:fill="FFFFFF"/>
          <w:lang w:bidi="ar"/>
        </w:rPr>
        <w:t>本办法所称的古树是指经依法认定的树龄一百年以上的树木；名木是指经依法认定的稀有、珍贵树木和具有历史价值、重要纪念意义的树木；古树后续资源是指经依法认定的树龄在八十年以上且不满一百年的树木。</w:t>
      </w:r>
    </w:p>
    <w:p>
      <w:pPr>
        <w:pStyle w:val="4"/>
        <w:keepNext w:val="0"/>
        <w:keepLines w:val="0"/>
        <w:pageBreakBefore w:val="0"/>
        <w:widowControl w:val="0"/>
        <w:kinsoku/>
        <w:wordWrap/>
        <w:overflowPunct/>
        <w:topLinePunct w:val="0"/>
        <w:autoSpaceDE/>
        <w:autoSpaceDN/>
        <w:adjustRightInd/>
        <w:snapToGrid w:val="0"/>
        <w:spacing w:line="336" w:lineRule="auto"/>
        <w:ind w:left="0" w:leftChars="0" w:right="0" w:rightChars="0" w:firstLineChars="200"/>
        <w:jc w:val="both"/>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b w:val="0"/>
          <w:color w:val="000000"/>
          <w:spacing w:val="0"/>
          <w:kern w:val="0"/>
          <w:sz w:val="32"/>
          <w:szCs w:val="32"/>
          <w:lang w:bidi="ar"/>
        </w:rPr>
        <w:t>第四条</w:t>
      </w:r>
      <w:r>
        <w:rPr>
          <w:rFonts w:hint="eastAsia" w:ascii="黑体" w:hAnsi="黑体" w:eastAsia="黑体"/>
          <w:b w:val="0"/>
          <w:color w:val="000000"/>
          <w:spacing w:val="-6"/>
          <w:kern w:val="2"/>
          <w:sz w:val="32"/>
        </w:rPr>
        <w:t xml:space="preserve">  </w:t>
      </w:r>
      <w:r>
        <w:rPr>
          <w:rFonts w:hint="eastAsia" w:ascii="仿宋_GB2312" w:hAnsi="仿宋_GB2312" w:eastAsia="仿宋_GB2312" w:cs="仿宋_GB2312"/>
          <w:color w:val="333333"/>
          <w:spacing w:val="0"/>
          <w:kern w:val="0"/>
          <w:sz w:val="32"/>
          <w:szCs w:val="32"/>
          <w:shd w:val="clear" w:color="auto" w:fill="FFFFFF"/>
          <w:lang w:bidi="ar"/>
        </w:rPr>
        <w:t>古树名木和古树后续资源保护应当坚持属地管理、政府主导、严格保护、合理利用的原则。</w:t>
      </w:r>
    </w:p>
    <w:p>
      <w:pPr>
        <w:pStyle w:val="4"/>
        <w:keepNext w:val="0"/>
        <w:keepLines w:val="0"/>
        <w:pageBreakBefore w:val="0"/>
        <w:widowControl w:val="0"/>
        <w:kinsoku/>
        <w:wordWrap/>
        <w:overflowPunct/>
        <w:topLinePunct w:val="0"/>
        <w:autoSpaceDE/>
        <w:autoSpaceDN/>
        <w:adjustRightInd/>
        <w:snapToGrid w:val="0"/>
        <w:spacing w:line="336" w:lineRule="auto"/>
        <w:ind w:left="0" w:leftChars="0" w:right="0" w:rightChars="0" w:firstLineChars="200"/>
        <w:jc w:val="both"/>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b w:val="0"/>
          <w:color w:val="000000"/>
          <w:spacing w:val="0"/>
          <w:kern w:val="0"/>
          <w:sz w:val="32"/>
          <w:szCs w:val="32"/>
          <w:lang w:bidi="ar"/>
        </w:rPr>
        <w:t>第五条</w:t>
      </w:r>
      <w:r>
        <w:rPr>
          <w:rFonts w:hint="eastAsia" w:ascii="宋体" w:hAnsi="宋体"/>
          <w:color w:val="000000"/>
          <w:spacing w:val="-6"/>
          <w:kern w:val="2"/>
          <w:sz w:val="32"/>
        </w:rPr>
        <w:t xml:space="preserve">  </w:t>
      </w:r>
      <w:r>
        <w:rPr>
          <w:rFonts w:hint="eastAsia" w:ascii="仿宋_GB2312" w:hAnsi="仿宋_GB2312" w:eastAsia="仿宋_GB2312" w:cs="仿宋_GB2312"/>
          <w:color w:val="333333"/>
          <w:spacing w:val="0"/>
          <w:kern w:val="0"/>
          <w:sz w:val="32"/>
          <w:szCs w:val="32"/>
          <w:shd w:val="clear" w:color="auto" w:fill="FFFFFF"/>
          <w:lang w:bidi="ar"/>
        </w:rPr>
        <w:t>市人民政府统筹推进全市古树名木和古树后续资源保护管理工作，协调解决保护管理过程中的重大问题，并将古树名木和古树后续资源保护纳入国土空间规划。</w:t>
      </w:r>
    </w:p>
    <w:p>
      <w:pPr>
        <w:pStyle w:val="4"/>
        <w:keepNext w:val="0"/>
        <w:keepLines w:val="0"/>
        <w:pageBreakBefore w:val="0"/>
        <w:widowControl w:val="0"/>
        <w:kinsoku/>
        <w:wordWrap/>
        <w:overflowPunct/>
        <w:topLinePunct w:val="0"/>
        <w:autoSpaceDE/>
        <w:autoSpaceDN/>
        <w:adjustRightInd/>
        <w:snapToGrid w:val="0"/>
        <w:spacing w:line="336" w:lineRule="auto"/>
        <w:ind w:left="0" w:leftChars="0" w:right="0" w:rightChars="0" w:firstLineChars="200"/>
        <w:jc w:val="both"/>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区、县（市）人民政府具体推进本行政区域内古树名木和古树后续资源保护管理工作，确定古树名木行政主管部门，并组织相关部门做好保护管理工作。</w:t>
      </w:r>
    </w:p>
    <w:p>
      <w:pPr>
        <w:pStyle w:val="4"/>
        <w:keepNext w:val="0"/>
        <w:keepLines w:val="0"/>
        <w:pageBreakBefore w:val="0"/>
        <w:widowControl w:val="0"/>
        <w:kinsoku/>
        <w:wordWrap/>
        <w:overflowPunct/>
        <w:topLinePunct w:val="0"/>
        <w:autoSpaceDE/>
        <w:autoSpaceDN/>
        <w:adjustRightInd/>
        <w:snapToGrid w:val="0"/>
        <w:spacing w:line="336" w:lineRule="auto"/>
        <w:ind w:left="0" w:leftChars="0" w:right="0" w:rightChars="0" w:firstLineChars="0"/>
        <w:jc w:val="both"/>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kern w:val="0"/>
          <w:sz w:val="32"/>
          <w:szCs w:val="32"/>
          <w:shd w:val="clear" w:color="auto" w:fill="FFFFFF"/>
          <w:lang w:val="en-US" w:eastAsia="zh-CN" w:bidi="ar"/>
        </w:rPr>
        <w:t xml:space="preserve">    </w:t>
      </w:r>
      <w:r>
        <w:rPr>
          <w:rFonts w:hint="eastAsia" w:ascii="仿宋_GB2312" w:hAnsi="仿宋_GB2312" w:eastAsia="仿宋_GB2312" w:cs="仿宋_GB2312"/>
          <w:color w:val="333333"/>
          <w:spacing w:val="0"/>
          <w:kern w:val="0"/>
          <w:sz w:val="32"/>
          <w:szCs w:val="32"/>
          <w:shd w:val="clear" w:color="auto" w:fill="FFFFFF"/>
          <w:lang w:bidi="ar"/>
        </w:rPr>
        <w:t>市和区、县（市）人民政府应当将古树名木和古树后续资源保护所需资金列入本级财政预算。</w:t>
      </w:r>
    </w:p>
    <w:p>
      <w:pPr>
        <w:keepNext w:val="0"/>
        <w:keepLines w:val="0"/>
        <w:pageBreakBefore w:val="0"/>
        <w:kinsoku/>
        <w:wordWrap/>
        <w:overflowPunct/>
        <w:topLinePunct w:val="0"/>
        <w:adjustRightInd/>
        <w:snapToGrid w:val="0"/>
        <w:spacing w:line="336" w:lineRule="auto"/>
        <w:ind w:left="0" w:leftChars="0" w:right="0" w:rightChars="0" w:firstLineChars="200"/>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乡（镇）人民政府、街道办事处协助做好本行政区域内古树名木和古树后续资源保护管理工作。</w:t>
      </w:r>
    </w:p>
    <w:p>
      <w:pPr>
        <w:pStyle w:val="4"/>
        <w:keepNext w:val="0"/>
        <w:keepLines w:val="0"/>
        <w:pageBreakBefore w:val="0"/>
        <w:widowControl w:val="0"/>
        <w:kinsoku/>
        <w:wordWrap/>
        <w:overflowPunct/>
        <w:topLinePunct w:val="0"/>
        <w:autoSpaceDE/>
        <w:autoSpaceDN/>
        <w:adjustRightInd/>
        <w:snapToGrid w:val="0"/>
        <w:spacing w:line="336" w:lineRule="auto"/>
        <w:ind w:left="0" w:leftChars="0" w:right="0" w:rightChars="0" w:firstLineChars="200"/>
        <w:jc w:val="both"/>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b w:val="0"/>
          <w:color w:val="000000"/>
          <w:spacing w:val="0"/>
          <w:kern w:val="0"/>
          <w:sz w:val="32"/>
          <w:szCs w:val="32"/>
          <w:lang w:bidi="ar"/>
        </w:rPr>
        <w:t>第六条</w:t>
      </w:r>
      <w:r>
        <w:rPr>
          <w:rFonts w:hint="eastAsia" w:ascii="宋体" w:hAnsi="宋体"/>
          <w:color w:val="000000"/>
          <w:spacing w:val="-6"/>
          <w:kern w:val="2"/>
          <w:sz w:val="32"/>
        </w:rPr>
        <w:t xml:space="preserve">  </w:t>
      </w:r>
      <w:r>
        <w:rPr>
          <w:rFonts w:hint="eastAsia" w:ascii="仿宋_GB2312" w:hAnsi="仿宋_GB2312" w:eastAsia="仿宋_GB2312" w:cs="仿宋_GB2312"/>
          <w:color w:val="333333"/>
          <w:spacing w:val="0"/>
          <w:kern w:val="0"/>
          <w:sz w:val="32"/>
          <w:szCs w:val="32"/>
          <w:shd w:val="clear" w:color="auto" w:fill="FFFFFF"/>
          <w:lang w:bidi="ar"/>
        </w:rPr>
        <w:t>市城市绿化行政主管部门和区、县（市）人民政府确定的部门（以下统称古树名木行政主管部门）依照职责分工，负责本行政区域内古树名木和古树后续资源保护管理工作，并组织编制古树名木和古树后续资源保护专项规划。</w:t>
      </w:r>
    </w:p>
    <w:p>
      <w:pPr>
        <w:keepNext w:val="0"/>
        <w:keepLines w:val="0"/>
        <w:pageBreakBefore w:val="0"/>
        <w:kinsoku/>
        <w:wordWrap/>
        <w:overflowPunct/>
        <w:topLinePunct w:val="0"/>
        <w:adjustRightInd/>
        <w:snapToGrid w:val="0"/>
        <w:spacing w:line="336" w:lineRule="auto"/>
        <w:ind w:left="0" w:leftChars="0" w:right="0" w:rightChars="0" w:firstLineChars="200"/>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发展和改革、财政、规划和自然资源、城乡建设、农业农村、民族宗教、城市管理等部门在各自职责范围内做好古树名木和古树后续资源的保护管理工作。</w:t>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bookmarkStart w:id="0" w:name="tiao_6_kuan_3"/>
      <w:bookmarkEnd w:id="0"/>
      <w:r>
        <w:rPr>
          <w:rFonts w:hint="eastAsia" w:ascii="黑体" w:hAnsi="宋体" w:eastAsia="黑体" w:cs="黑体"/>
          <w:b w:val="0"/>
          <w:color w:val="000000"/>
          <w:spacing w:val="0"/>
          <w:kern w:val="0"/>
          <w:sz w:val="32"/>
          <w:szCs w:val="32"/>
          <w:lang w:bidi="ar"/>
        </w:rPr>
        <w:t>第七条</w:t>
      </w:r>
      <w:r>
        <w:rPr>
          <w:rFonts w:hint="eastAsia" w:ascii="宋体" w:hAnsi="宋体"/>
          <w:color w:val="000000"/>
          <w:spacing w:val="-6"/>
          <w:kern w:val="2"/>
          <w:sz w:val="32"/>
        </w:rPr>
        <w:t xml:space="preserve">  </w:t>
      </w:r>
      <w:r>
        <w:rPr>
          <w:rFonts w:hint="eastAsia" w:ascii="仿宋_GB2312" w:hAnsi="仿宋_GB2312" w:eastAsia="仿宋_GB2312" w:cs="仿宋_GB2312"/>
          <w:color w:val="333333"/>
          <w:spacing w:val="0"/>
          <w:kern w:val="0"/>
          <w:sz w:val="32"/>
          <w:szCs w:val="32"/>
          <w:shd w:val="clear" w:color="auto" w:fill="FFFFFF"/>
          <w:lang w:bidi="ar"/>
        </w:rPr>
        <w:t>市古树名木行政主管部门应当每十年组织区、县（市）古树名木行政主管部门对古树名木和古树后续资源进行一次普查，建立古树名木和古树后续资源目录并及时向社会公布</w:t>
      </w:r>
      <w:bookmarkStart w:id="1" w:name="tiao9_kuan1"/>
      <w:bookmarkEnd w:id="1"/>
      <w:r>
        <w:rPr>
          <w:rFonts w:hint="eastAsia" w:ascii="仿宋_GB2312" w:hAnsi="仿宋_GB2312" w:eastAsia="仿宋_GB2312" w:cs="仿宋_GB2312"/>
          <w:color w:val="333333"/>
          <w:spacing w:val="0"/>
          <w:kern w:val="0"/>
          <w:sz w:val="32"/>
          <w:szCs w:val="32"/>
          <w:shd w:val="clear" w:color="auto" w:fill="FFFFFF"/>
          <w:lang w:bidi="ar"/>
        </w:rPr>
        <w:t>。</w:t>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市和区、县（市）古树名木行政主管部门按照省有关规定依照职责组织开展古树名木的鉴定和认定，并将古树名木目录报省古树名木行政主管部门备案。</w:t>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区、县（市）古树名木行政主管部门组织开展古树后续资源的鉴定和认定，并将古树后续资源目录报市古树名木行政主管部门备案。</w:t>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b w:val="0"/>
          <w:color w:val="000000"/>
          <w:spacing w:val="0"/>
          <w:kern w:val="0"/>
          <w:sz w:val="32"/>
          <w:szCs w:val="32"/>
          <w:lang w:bidi="ar"/>
        </w:rPr>
        <w:t>第八条</w:t>
      </w:r>
      <w:r>
        <w:rPr>
          <w:rFonts w:hint="eastAsia" w:ascii="宋体" w:hAnsi="宋体"/>
          <w:b/>
          <w:color w:val="000000"/>
          <w:spacing w:val="-6"/>
          <w:kern w:val="2"/>
          <w:sz w:val="32"/>
        </w:rPr>
        <w:t xml:space="preserve">  </w:t>
      </w:r>
      <w:r>
        <w:rPr>
          <w:rFonts w:hint="eastAsia" w:ascii="仿宋_GB2312" w:hAnsi="仿宋_GB2312" w:eastAsia="仿宋_GB2312" w:cs="仿宋_GB2312"/>
          <w:color w:val="333333"/>
          <w:spacing w:val="0"/>
          <w:kern w:val="0"/>
          <w:sz w:val="32"/>
          <w:szCs w:val="32"/>
          <w:shd w:val="clear" w:color="auto" w:fill="FFFFFF"/>
          <w:lang w:bidi="ar"/>
        </w:rPr>
        <w:t>鼓励单位和个人向古树名木行政主管部门报告未经公布的古树名木信息。</w:t>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古树名木行政主管部门接到报告后应当组织调查，经依法鉴定属于古树名木的，应当依照规定对报告人给予表彰。</w:t>
      </w:r>
    </w:p>
    <w:p>
      <w:pPr>
        <w:keepNext w:val="0"/>
        <w:keepLines w:val="0"/>
        <w:pageBreakBefore w:val="0"/>
        <w:kinsoku/>
        <w:wordWrap/>
        <w:overflowPunct/>
        <w:topLinePunct w:val="0"/>
        <w:adjustRightInd/>
        <w:snapToGrid w:val="0"/>
        <w:spacing w:line="336" w:lineRule="auto"/>
        <w:ind w:left="0" w:leftChars="0" w:right="0" w:rightChars="0" w:firstLineChars="200"/>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b w:val="0"/>
          <w:color w:val="000000"/>
          <w:spacing w:val="0"/>
          <w:kern w:val="0"/>
          <w:sz w:val="32"/>
          <w:szCs w:val="32"/>
          <w:lang w:bidi="ar"/>
        </w:rPr>
        <w:t xml:space="preserve">第九条 </w:t>
      </w:r>
      <w:r>
        <w:rPr>
          <w:rFonts w:hint="eastAsia" w:ascii="宋体" w:hAnsi="宋体"/>
          <w:b/>
          <w:color w:val="000000"/>
          <w:spacing w:val="-6"/>
          <w:kern w:val="2"/>
          <w:sz w:val="32"/>
        </w:rPr>
        <w:t xml:space="preserve"> </w:t>
      </w:r>
      <w:r>
        <w:rPr>
          <w:rFonts w:hint="eastAsia" w:ascii="仿宋_GB2312" w:hAnsi="仿宋_GB2312" w:eastAsia="仿宋_GB2312" w:cs="仿宋_GB2312"/>
          <w:color w:val="333333"/>
          <w:spacing w:val="0"/>
          <w:kern w:val="0"/>
          <w:sz w:val="32"/>
          <w:szCs w:val="32"/>
          <w:shd w:val="clear" w:color="auto" w:fill="FFFFFF"/>
          <w:lang w:bidi="ar"/>
        </w:rPr>
        <w:t>市古树名木行政主管部门应当建立本市古树名木和古树后续资源图文档案及电子信息数据库，对古树名木和古树后续资源的位置、特征、树龄、生长环境、生长情况、保护现状等信息进行动态管理，推动古树名木和古树后续资源保护利用的数字化管理。</w:t>
      </w:r>
      <w:bookmarkStart w:id="13" w:name="_GoBack"/>
      <w:bookmarkEnd w:id="13"/>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b w:val="0"/>
          <w:color w:val="000000"/>
          <w:spacing w:val="0"/>
          <w:kern w:val="0"/>
          <w:sz w:val="32"/>
          <w:szCs w:val="32"/>
          <w:lang w:bidi="ar"/>
        </w:rPr>
        <w:t>第十条</w:t>
      </w:r>
      <w:r>
        <w:rPr>
          <w:rFonts w:hint="eastAsia" w:ascii="宋体" w:hAnsi="宋体"/>
          <w:b/>
          <w:color w:val="000000"/>
          <w:spacing w:val="-6"/>
          <w:kern w:val="2"/>
          <w:sz w:val="32"/>
        </w:rPr>
        <w:t xml:space="preserve"> </w:t>
      </w:r>
      <w:r>
        <w:rPr>
          <w:rFonts w:ascii="宋体" w:hAnsi="宋体"/>
          <w:color w:val="000000"/>
          <w:spacing w:val="-6"/>
          <w:kern w:val="2"/>
          <w:sz w:val="32"/>
        </w:rPr>
        <w:t xml:space="preserve"> </w:t>
      </w:r>
      <w:r>
        <w:rPr>
          <w:rFonts w:hint="eastAsia" w:ascii="仿宋_GB2312" w:hAnsi="仿宋_GB2312" w:eastAsia="仿宋_GB2312" w:cs="仿宋_GB2312"/>
          <w:color w:val="333333"/>
          <w:spacing w:val="0"/>
          <w:kern w:val="0"/>
          <w:sz w:val="32"/>
          <w:szCs w:val="32"/>
          <w:shd w:val="clear" w:color="auto" w:fill="FFFFFF"/>
          <w:lang w:bidi="ar"/>
        </w:rPr>
        <w:t>区、县（市）古树名木行政主管部门应当对已公布的古树名木和古树后续资源设立保护标志，设置必要的保护设施。</w:t>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古树名木保护标志按照省古树名木行政主管部门确定的样式制定；古树后续资源保护标志按照市古树名木行政主管部门确定的样式制定。</w:t>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olor w:val="000000"/>
          <w:spacing w:val="-6"/>
          <w:kern w:val="2"/>
          <w:sz w:val="32"/>
        </w:rPr>
      </w:pPr>
      <w:r>
        <w:rPr>
          <w:rFonts w:hint="eastAsia" w:ascii="仿宋_GB2312" w:hAnsi="仿宋_GB2312" w:eastAsia="仿宋_GB2312" w:cs="仿宋_GB2312"/>
          <w:color w:val="333333"/>
          <w:spacing w:val="0"/>
          <w:kern w:val="0"/>
          <w:sz w:val="32"/>
          <w:szCs w:val="32"/>
          <w:shd w:val="clear" w:color="auto" w:fill="FFFFFF"/>
          <w:lang w:bidi="ar"/>
        </w:rPr>
        <w:t>禁止损毁、擅自移动古树名木和古树后续资源的保护标志和保护设施。</w:t>
      </w:r>
    </w:p>
    <w:p>
      <w:pPr>
        <w:keepNext w:val="0"/>
        <w:keepLines w:val="0"/>
        <w:pageBreakBefore w:val="0"/>
        <w:shd w:val="clear" w:color="auto" w:fill="FFFFFF"/>
        <w:kinsoku/>
        <w:wordWrap/>
        <w:overflowPunct/>
        <w:topLinePunct w:val="0"/>
        <w:adjustRightInd/>
        <w:snapToGrid w:val="0"/>
        <w:spacing w:line="336" w:lineRule="auto"/>
        <w:ind w:left="0" w:leftChars="0" w:right="0" w:rightChars="0" w:firstLineChars="200"/>
        <w:textAlignment w:val="auto"/>
        <w:outlineLvl w:val="9"/>
        <w:rPr>
          <w:rFonts w:hint="eastAsia" w:ascii="仿宋_GB2312" w:hAnsi="仿宋_GB2312" w:eastAsia="仿宋_GB2312"/>
          <w:color w:val="000000"/>
          <w:spacing w:val="-6"/>
          <w:kern w:val="2"/>
          <w:sz w:val="32"/>
        </w:rPr>
      </w:pPr>
      <w:r>
        <w:rPr>
          <w:rFonts w:hint="eastAsia" w:ascii="黑体" w:hAnsi="宋体" w:eastAsia="黑体" w:cs="黑体"/>
          <w:b w:val="0"/>
          <w:color w:val="000000"/>
          <w:spacing w:val="0"/>
          <w:kern w:val="0"/>
          <w:sz w:val="32"/>
          <w:szCs w:val="32"/>
          <w:lang w:bidi="ar"/>
        </w:rPr>
        <w:t>第十一条</w:t>
      </w:r>
      <w:r>
        <w:rPr>
          <w:rFonts w:hint="eastAsia" w:ascii="黑体" w:hAnsi="黑体" w:eastAsia="黑体"/>
          <w:b w:val="0"/>
          <w:color w:val="000000"/>
          <w:spacing w:val="-6"/>
          <w:kern w:val="2"/>
          <w:sz w:val="32"/>
        </w:rPr>
        <w:t xml:space="preserve"> </w:t>
      </w:r>
      <w:r>
        <w:rPr>
          <w:rFonts w:hint="eastAsia" w:ascii="宋体" w:hAnsi="宋体"/>
          <w:b/>
          <w:color w:val="000000"/>
          <w:spacing w:val="-6"/>
          <w:kern w:val="2"/>
          <w:sz w:val="32"/>
        </w:rPr>
        <w:t xml:space="preserve"> </w:t>
      </w:r>
      <w:r>
        <w:rPr>
          <w:rFonts w:hint="eastAsia" w:ascii="仿宋_GB2312" w:hAnsi="仿宋_GB2312" w:eastAsia="仿宋_GB2312" w:cs="仿宋_GB2312"/>
          <w:color w:val="333333"/>
          <w:spacing w:val="0"/>
          <w:kern w:val="0"/>
          <w:sz w:val="32"/>
          <w:szCs w:val="32"/>
          <w:shd w:val="clear" w:color="auto" w:fill="FFFFFF"/>
          <w:lang w:bidi="ar"/>
        </w:rPr>
        <w:t>任何单位、个人都有保护古树名木和古树后续资源的义务，有权制止和举报损害古树名木和古树后续资源的行为。</w:t>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b w:val="0"/>
          <w:color w:val="000000"/>
          <w:spacing w:val="0"/>
          <w:kern w:val="0"/>
          <w:sz w:val="32"/>
          <w:szCs w:val="32"/>
          <w:lang w:bidi="ar"/>
        </w:rPr>
        <w:t>第十二条</w:t>
      </w:r>
      <w:r>
        <w:rPr>
          <w:rFonts w:hint="eastAsia" w:ascii="宋体" w:hAnsi="宋体"/>
          <w:b/>
          <w:color w:val="000000"/>
          <w:spacing w:val="-6"/>
          <w:kern w:val="2"/>
          <w:sz w:val="32"/>
        </w:rPr>
        <w:t xml:space="preserve"> </w:t>
      </w:r>
      <w:r>
        <w:rPr>
          <w:rFonts w:hint="eastAsia" w:ascii="宋体" w:hAnsi="宋体"/>
          <w:color w:val="000000"/>
          <w:spacing w:val="-6"/>
          <w:kern w:val="2"/>
          <w:sz w:val="32"/>
        </w:rPr>
        <w:t xml:space="preserve"> </w:t>
      </w:r>
      <w:r>
        <w:rPr>
          <w:rFonts w:hint="eastAsia" w:ascii="仿宋_GB2312" w:hAnsi="仿宋_GB2312" w:eastAsia="仿宋_GB2312" w:cs="仿宋_GB2312"/>
          <w:color w:val="333333"/>
          <w:spacing w:val="0"/>
          <w:kern w:val="0"/>
          <w:sz w:val="32"/>
          <w:szCs w:val="32"/>
          <w:shd w:val="clear" w:color="auto" w:fill="FFFFFF"/>
          <w:lang w:bidi="ar"/>
        </w:rPr>
        <w:t>鼓励社会力量通过捐资、认养或者志愿服务等多种方式，依法参与古树名木和古树后续资源的保护工作。</w:t>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捐资、认养古树名木和古树后续资源的单位和个人可以按照捐资或者认养约定享有一定期限的署名权。捐资、认养、志愿服务等行为视为义务植树的尽责形式。</w:t>
      </w:r>
    </w:p>
    <w:p>
      <w:pPr>
        <w:keepNext w:val="0"/>
        <w:keepLines w:val="0"/>
        <w:pageBreakBefore w:val="0"/>
        <w:shd w:val="clear" w:color="auto" w:fill="FFFFFF"/>
        <w:kinsoku/>
        <w:wordWrap/>
        <w:overflowPunct/>
        <w:topLinePunct w:val="0"/>
        <w:adjustRightInd/>
        <w:snapToGrid w:val="0"/>
        <w:spacing w:line="336" w:lineRule="auto"/>
        <w:ind w:left="0" w:leftChars="0" w:right="0" w:rightChars="0" w:firstLineChars="200"/>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b w:val="0"/>
          <w:color w:val="000000"/>
          <w:spacing w:val="0"/>
          <w:kern w:val="0"/>
          <w:sz w:val="32"/>
          <w:szCs w:val="32"/>
          <w:lang w:bidi="ar"/>
        </w:rPr>
        <w:t>第十三条</w:t>
      </w:r>
      <w:r>
        <w:rPr>
          <w:rFonts w:hint="eastAsia" w:ascii="宋体" w:hAnsi="宋体"/>
          <w:b/>
          <w:color w:val="000000"/>
          <w:spacing w:val="-6"/>
          <w:kern w:val="2"/>
          <w:sz w:val="32"/>
        </w:rPr>
        <w:t xml:space="preserve">  </w:t>
      </w:r>
      <w:r>
        <w:rPr>
          <w:rFonts w:hint="eastAsia" w:ascii="仿宋_GB2312" w:hAnsi="仿宋_GB2312" w:eastAsia="仿宋_GB2312" w:cs="仿宋_GB2312"/>
          <w:color w:val="333333"/>
          <w:spacing w:val="0"/>
          <w:kern w:val="0"/>
          <w:sz w:val="32"/>
          <w:szCs w:val="32"/>
          <w:shd w:val="clear" w:color="auto" w:fill="FFFFFF"/>
          <w:lang w:bidi="ar"/>
        </w:rPr>
        <w:t>鼓励利用古树名木和古树后续资源的优良基因，开展物候学、生物学、遗传育种等科学研究，合理利用古树名木和古树后续资源的花、叶和果实等资源。</w:t>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鼓励结合历史文化街区、历史建筑等保护，充分挖掘古树名木和古树后续资源的历史、文化、生态、科研价值，通过建设科普和生态文明教育基地等形式，对古树名木和古树后续资源进行适度开发利用。</w:t>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利用古树名木和古树后续资源应当采取科学有效的保护措施，不得影响古树名木和古树后续资源正常生长，并接受古树名木行政主管部门的监督检查。</w:t>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b w:val="0"/>
          <w:color w:val="000000"/>
          <w:spacing w:val="0"/>
          <w:kern w:val="0"/>
          <w:sz w:val="32"/>
          <w:szCs w:val="32"/>
          <w:lang w:bidi="ar"/>
        </w:rPr>
        <w:t>第十四条</w:t>
      </w:r>
      <w:r>
        <w:rPr>
          <w:rFonts w:hint="eastAsia" w:ascii="宋体" w:hAnsi="宋体"/>
          <w:b/>
          <w:color w:val="000000"/>
          <w:spacing w:val="-6"/>
          <w:kern w:val="2"/>
          <w:sz w:val="32"/>
        </w:rPr>
        <w:t xml:space="preserve"> </w:t>
      </w:r>
      <w:bookmarkStart w:id="2" w:name="tiao_11_kuan_1"/>
      <w:bookmarkEnd w:id="2"/>
      <w:r>
        <w:rPr>
          <w:rStyle w:val="14"/>
          <w:rFonts w:hint="eastAsia" w:ascii="宋体" w:hAnsi="宋体"/>
          <w:b w:val="0"/>
          <w:color w:val="000000"/>
          <w:spacing w:val="-6"/>
          <w:kern w:val="2"/>
          <w:sz w:val="32"/>
        </w:rPr>
        <w:t xml:space="preserve"> </w:t>
      </w:r>
      <w:r>
        <w:rPr>
          <w:rFonts w:hint="eastAsia" w:ascii="仿宋_GB2312" w:hAnsi="仿宋_GB2312" w:eastAsia="仿宋_GB2312" w:cs="仿宋_GB2312"/>
          <w:color w:val="333333"/>
          <w:spacing w:val="0"/>
          <w:kern w:val="0"/>
          <w:sz w:val="32"/>
          <w:szCs w:val="32"/>
          <w:shd w:val="clear" w:color="auto" w:fill="FFFFFF"/>
          <w:lang w:bidi="ar"/>
        </w:rPr>
        <w:t>区、县（市）古树名木行政主管部门按照下列规定，确定古树名木和古树后续资源的养护责任人：</w:t>
      </w:r>
      <w:r>
        <w:rPr>
          <w:rFonts w:hint="eastAsia" w:ascii="仿宋_GB2312" w:hAnsi="仿宋_GB2312" w:eastAsia="仿宋_GB2312" w:cs="仿宋_GB2312"/>
          <w:color w:val="333333"/>
          <w:spacing w:val="0"/>
          <w:kern w:val="0"/>
          <w:sz w:val="32"/>
          <w:szCs w:val="32"/>
          <w:shd w:val="clear" w:color="auto" w:fill="FFFFFF"/>
          <w:lang w:bidi="ar"/>
        </w:rPr>
        <w:fldChar w:fldCharType="begin"/>
      </w:r>
      <w:r>
        <w:rPr>
          <w:rFonts w:hint="eastAsia" w:ascii="仿宋_GB2312" w:hAnsi="仿宋_GB2312" w:eastAsia="仿宋_GB2312" w:cs="仿宋_GB2312"/>
          <w:color w:val="333333"/>
          <w:spacing w:val="0"/>
          <w:kern w:val="0"/>
          <w:sz w:val="32"/>
          <w:szCs w:val="32"/>
          <w:shd w:val="clear" w:color="auto" w:fill="FFFFFF"/>
          <w:lang w:bidi="ar"/>
        </w:rPr>
        <w:instrText xml:space="preserve">HYPERLINK "javascript:void(0);"</w:instrText>
      </w:r>
      <w:r>
        <w:rPr>
          <w:rFonts w:hint="eastAsia" w:ascii="仿宋_GB2312" w:hAnsi="仿宋_GB2312" w:eastAsia="仿宋_GB2312" w:cs="仿宋_GB2312"/>
          <w:color w:val="333333"/>
          <w:spacing w:val="0"/>
          <w:kern w:val="0"/>
          <w:sz w:val="32"/>
          <w:szCs w:val="32"/>
          <w:shd w:val="clear" w:color="auto" w:fill="FFFFFF"/>
          <w:lang w:bidi="ar"/>
        </w:rPr>
        <w:fldChar w:fldCharType="separate"/>
      </w:r>
      <w:r>
        <w:rPr>
          <w:rFonts w:hint="eastAsia" w:ascii="仿宋_GB2312" w:hAnsi="仿宋_GB2312" w:eastAsia="仿宋_GB2312" w:cs="仿宋_GB2312"/>
          <w:color w:val="333333"/>
          <w:spacing w:val="0"/>
          <w:kern w:val="0"/>
          <w:sz w:val="32"/>
          <w:szCs w:val="32"/>
          <w:shd w:val="clear" w:color="auto" w:fill="FFFFFF"/>
          <w:lang w:bidi="ar"/>
        </w:rPr>
        <w:fldChar w:fldCharType="end"/>
      </w:r>
      <w:bookmarkStart w:id="3" w:name="tiao_11_kuan_1_xiang_1"/>
      <w:bookmarkEnd w:id="3"/>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（一）生长在自然保护区、风景名胜区、旅游度假区等用地范围内的古树名木和古树后续资源，该区域的管理单位为养护责任人；</w:t>
      </w:r>
      <w:r>
        <w:rPr>
          <w:rFonts w:hint="eastAsia" w:ascii="仿宋_GB2312" w:hAnsi="仿宋_GB2312" w:eastAsia="仿宋_GB2312" w:cs="仿宋_GB2312"/>
          <w:color w:val="333333"/>
          <w:spacing w:val="0"/>
          <w:kern w:val="0"/>
          <w:sz w:val="32"/>
          <w:szCs w:val="32"/>
          <w:shd w:val="clear" w:color="auto" w:fill="FFFFFF"/>
          <w:lang w:bidi="ar"/>
        </w:rPr>
        <w:fldChar w:fldCharType="begin"/>
      </w:r>
      <w:r>
        <w:rPr>
          <w:rFonts w:hint="eastAsia" w:ascii="仿宋_GB2312" w:hAnsi="仿宋_GB2312" w:eastAsia="仿宋_GB2312" w:cs="仿宋_GB2312"/>
          <w:color w:val="333333"/>
          <w:spacing w:val="0"/>
          <w:kern w:val="0"/>
          <w:sz w:val="32"/>
          <w:szCs w:val="32"/>
          <w:shd w:val="clear" w:color="auto" w:fill="FFFFFF"/>
          <w:lang w:bidi="ar"/>
        </w:rPr>
        <w:instrText xml:space="preserve">HYPERLINK "javascript:void(0);"</w:instrText>
      </w:r>
      <w:r>
        <w:rPr>
          <w:rFonts w:hint="eastAsia" w:ascii="仿宋_GB2312" w:hAnsi="仿宋_GB2312" w:eastAsia="仿宋_GB2312" w:cs="仿宋_GB2312"/>
          <w:color w:val="333333"/>
          <w:spacing w:val="0"/>
          <w:kern w:val="0"/>
          <w:sz w:val="32"/>
          <w:szCs w:val="32"/>
          <w:shd w:val="clear" w:color="auto" w:fill="FFFFFF"/>
          <w:lang w:bidi="ar"/>
        </w:rPr>
        <w:fldChar w:fldCharType="separate"/>
      </w:r>
      <w:r>
        <w:rPr>
          <w:rFonts w:hint="eastAsia" w:ascii="仿宋_GB2312" w:hAnsi="仿宋_GB2312" w:eastAsia="仿宋_GB2312" w:cs="仿宋_GB2312"/>
          <w:color w:val="333333"/>
          <w:spacing w:val="0"/>
          <w:kern w:val="0"/>
          <w:sz w:val="32"/>
          <w:szCs w:val="32"/>
          <w:shd w:val="clear" w:color="auto" w:fill="FFFFFF"/>
          <w:lang w:bidi="ar"/>
        </w:rPr>
        <w:fldChar w:fldCharType="end"/>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bookmarkStart w:id="4" w:name="tiao_11_kuan_1_xiang_2"/>
      <w:bookmarkEnd w:id="4"/>
      <w:r>
        <w:rPr>
          <w:rFonts w:hint="eastAsia" w:ascii="仿宋_GB2312" w:hAnsi="仿宋_GB2312" w:eastAsia="仿宋_GB2312" w:cs="仿宋_GB2312"/>
          <w:color w:val="333333"/>
          <w:spacing w:val="0"/>
          <w:kern w:val="0"/>
          <w:sz w:val="32"/>
          <w:szCs w:val="32"/>
          <w:shd w:val="clear" w:color="auto" w:fill="FFFFFF"/>
          <w:lang w:bidi="ar"/>
        </w:rPr>
        <w:t>（二）生长在文物保护单位、寺庙、机关、部队、企事业单位等用地范围内的古树名木和古树后续资源，该单位为养护责任人；</w:t>
      </w:r>
      <w:r>
        <w:rPr>
          <w:rFonts w:hint="eastAsia" w:ascii="仿宋_GB2312" w:hAnsi="仿宋_GB2312" w:eastAsia="仿宋_GB2312" w:cs="仿宋_GB2312"/>
          <w:color w:val="333333"/>
          <w:spacing w:val="0"/>
          <w:kern w:val="0"/>
          <w:sz w:val="32"/>
          <w:szCs w:val="32"/>
          <w:shd w:val="clear" w:color="auto" w:fill="FFFFFF"/>
          <w:lang w:bidi="ar"/>
        </w:rPr>
        <w:fldChar w:fldCharType="begin"/>
      </w:r>
      <w:r>
        <w:rPr>
          <w:rFonts w:hint="eastAsia" w:ascii="仿宋_GB2312" w:hAnsi="仿宋_GB2312" w:eastAsia="仿宋_GB2312" w:cs="仿宋_GB2312"/>
          <w:color w:val="333333"/>
          <w:spacing w:val="0"/>
          <w:kern w:val="0"/>
          <w:sz w:val="32"/>
          <w:szCs w:val="32"/>
          <w:shd w:val="clear" w:color="auto" w:fill="FFFFFF"/>
          <w:lang w:bidi="ar"/>
        </w:rPr>
        <w:instrText xml:space="preserve">HYPERLINK "javascript:void(0);"</w:instrText>
      </w:r>
      <w:r>
        <w:rPr>
          <w:rFonts w:hint="eastAsia" w:ascii="仿宋_GB2312" w:hAnsi="仿宋_GB2312" w:eastAsia="仿宋_GB2312" w:cs="仿宋_GB2312"/>
          <w:color w:val="333333"/>
          <w:spacing w:val="0"/>
          <w:kern w:val="0"/>
          <w:sz w:val="32"/>
          <w:szCs w:val="32"/>
          <w:shd w:val="clear" w:color="auto" w:fill="FFFFFF"/>
          <w:lang w:bidi="ar"/>
        </w:rPr>
        <w:fldChar w:fldCharType="separate"/>
      </w:r>
      <w:r>
        <w:rPr>
          <w:rFonts w:hint="eastAsia" w:ascii="仿宋_GB2312" w:hAnsi="仿宋_GB2312" w:eastAsia="仿宋_GB2312" w:cs="仿宋_GB2312"/>
          <w:color w:val="333333"/>
          <w:spacing w:val="0"/>
          <w:kern w:val="0"/>
          <w:sz w:val="32"/>
          <w:szCs w:val="32"/>
          <w:shd w:val="clear" w:color="auto" w:fill="FFFFFF"/>
          <w:lang w:bidi="ar"/>
        </w:rPr>
        <w:fldChar w:fldCharType="end"/>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bookmarkStart w:id="5" w:name="tiao_11_kuan_1_xiang_3"/>
      <w:bookmarkEnd w:id="5"/>
      <w:r>
        <w:rPr>
          <w:rFonts w:hint="eastAsia" w:ascii="仿宋_GB2312" w:hAnsi="仿宋_GB2312" w:eastAsia="仿宋_GB2312" w:cs="仿宋_GB2312"/>
          <w:color w:val="333333"/>
          <w:spacing w:val="0"/>
          <w:kern w:val="0"/>
          <w:sz w:val="32"/>
          <w:szCs w:val="32"/>
          <w:shd w:val="clear" w:color="auto" w:fill="FFFFFF"/>
          <w:lang w:bidi="ar"/>
        </w:rPr>
        <w:t>（三）生长在园林绿化管理部门管理的公共绿地、公园、城市道路用地范围内的古树名木和古树后续资源，园林绿化专业养护单位为养护责任人；</w:t>
      </w:r>
      <w:r>
        <w:rPr>
          <w:rFonts w:hint="eastAsia" w:ascii="仿宋_GB2312" w:hAnsi="仿宋_GB2312" w:eastAsia="仿宋_GB2312" w:cs="仿宋_GB2312"/>
          <w:color w:val="333333"/>
          <w:spacing w:val="0"/>
          <w:kern w:val="0"/>
          <w:sz w:val="32"/>
          <w:szCs w:val="32"/>
          <w:shd w:val="clear" w:color="auto" w:fill="FFFFFF"/>
          <w:lang w:bidi="ar"/>
        </w:rPr>
        <w:fldChar w:fldCharType="begin"/>
      </w:r>
      <w:r>
        <w:rPr>
          <w:rFonts w:hint="eastAsia" w:ascii="仿宋_GB2312" w:hAnsi="仿宋_GB2312" w:eastAsia="仿宋_GB2312" w:cs="仿宋_GB2312"/>
          <w:color w:val="333333"/>
          <w:spacing w:val="0"/>
          <w:kern w:val="0"/>
          <w:sz w:val="32"/>
          <w:szCs w:val="32"/>
          <w:shd w:val="clear" w:color="auto" w:fill="FFFFFF"/>
          <w:lang w:bidi="ar"/>
        </w:rPr>
        <w:instrText xml:space="preserve">HYPERLINK "javascript:void(0);"</w:instrText>
      </w:r>
      <w:r>
        <w:rPr>
          <w:rFonts w:hint="eastAsia" w:ascii="仿宋_GB2312" w:hAnsi="仿宋_GB2312" w:eastAsia="仿宋_GB2312" w:cs="仿宋_GB2312"/>
          <w:color w:val="333333"/>
          <w:spacing w:val="0"/>
          <w:kern w:val="0"/>
          <w:sz w:val="32"/>
          <w:szCs w:val="32"/>
          <w:shd w:val="clear" w:color="auto" w:fill="FFFFFF"/>
          <w:lang w:bidi="ar"/>
        </w:rPr>
        <w:fldChar w:fldCharType="separate"/>
      </w:r>
      <w:r>
        <w:rPr>
          <w:rFonts w:hint="eastAsia" w:ascii="仿宋_GB2312" w:hAnsi="仿宋_GB2312" w:eastAsia="仿宋_GB2312" w:cs="仿宋_GB2312"/>
          <w:color w:val="333333"/>
          <w:spacing w:val="0"/>
          <w:kern w:val="0"/>
          <w:sz w:val="32"/>
          <w:szCs w:val="32"/>
          <w:shd w:val="clear" w:color="auto" w:fill="FFFFFF"/>
          <w:lang w:bidi="ar"/>
        </w:rPr>
        <w:fldChar w:fldCharType="end"/>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bookmarkStart w:id="6" w:name="tiao_11_kuan_1_xiang_4"/>
      <w:bookmarkEnd w:id="6"/>
      <w:r>
        <w:rPr>
          <w:rFonts w:hint="eastAsia" w:ascii="仿宋_GB2312" w:hAnsi="仿宋_GB2312" w:eastAsia="仿宋_GB2312" w:cs="仿宋_GB2312"/>
          <w:color w:val="333333"/>
          <w:spacing w:val="0"/>
          <w:kern w:val="0"/>
          <w:sz w:val="32"/>
          <w:szCs w:val="32"/>
          <w:shd w:val="clear" w:color="auto" w:fill="FFFFFF"/>
          <w:lang w:bidi="ar"/>
        </w:rPr>
        <w:t>（四）生长在铁路、公路、江河堤坝和水库湖渠等用地范围内的古树名木和古树后续资源，铁路、公路和水利设施等的管理单位为养护责任人；</w:t>
      </w:r>
      <w:r>
        <w:rPr>
          <w:rFonts w:hint="eastAsia" w:ascii="仿宋_GB2312" w:hAnsi="仿宋_GB2312" w:eastAsia="仿宋_GB2312" w:cs="仿宋_GB2312"/>
          <w:color w:val="333333"/>
          <w:spacing w:val="0"/>
          <w:kern w:val="0"/>
          <w:sz w:val="32"/>
          <w:szCs w:val="32"/>
          <w:shd w:val="clear" w:color="auto" w:fill="FFFFFF"/>
          <w:lang w:bidi="ar"/>
        </w:rPr>
        <w:fldChar w:fldCharType="begin"/>
      </w:r>
      <w:r>
        <w:rPr>
          <w:rFonts w:hint="eastAsia" w:ascii="仿宋_GB2312" w:hAnsi="仿宋_GB2312" w:eastAsia="仿宋_GB2312" w:cs="仿宋_GB2312"/>
          <w:color w:val="333333"/>
          <w:spacing w:val="0"/>
          <w:kern w:val="0"/>
          <w:sz w:val="32"/>
          <w:szCs w:val="32"/>
          <w:shd w:val="clear" w:color="auto" w:fill="FFFFFF"/>
          <w:lang w:bidi="ar"/>
        </w:rPr>
        <w:instrText xml:space="preserve">HYPERLINK "javascript:void(0);"</w:instrText>
      </w:r>
      <w:r>
        <w:rPr>
          <w:rFonts w:hint="eastAsia" w:ascii="仿宋_GB2312" w:hAnsi="仿宋_GB2312" w:eastAsia="仿宋_GB2312" w:cs="仿宋_GB2312"/>
          <w:color w:val="333333"/>
          <w:spacing w:val="0"/>
          <w:kern w:val="0"/>
          <w:sz w:val="32"/>
          <w:szCs w:val="32"/>
          <w:shd w:val="clear" w:color="auto" w:fill="FFFFFF"/>
          <w:lang w:bidi="ar"/>
        </w:rPr>
        <w:fldChar w:fldCharType="separate"/>
      </w:r>
      <w:r>
        <w:rPr>
          <w:rFonts w:hint="eastAsia" w:ascii="仿宋_GB2312" w:hAnsi="仿宋_GB2312" w:eastAsia="仿宋_GB2312" w:cs="仿宋_GB2312"/>
          <w:color w:val="333333"/>
          <w:spacing w:val="0"/>
          <w:kern w:val="0"/>
          <w:sz w:val="32"/>
          <w:szCs w:val="32"/>
          <w:shd w:val="clear" w:color="auto" w:fill="FFFFFF"/>
          <w:lang w:bidi="ar"/>
        </w:rPr>
        <w:fldChar w:fldCharType="end"/>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bookmarkStart w:id="7" w:name="tiao_11_kuan_1_xiang_5"/>
      <w:bookmarkEnd w:id="7"/>
      <w:r>
        <w:rPr>
          <w:rFonts w:hint="eastAsia" w:ascii="仿宋_GB2312" w:hAnsi="仿宋_GB2312" w:eastAsia="仿宋_GB2312" w:cs="仿宋_GB2312"/>
          <w:color w:val="333333"/>
          <w:spacing w:val="0"/>
          <w:kern w:val="0"/>
          <w:sz w:val="32"/>
          <w:szCs w:val="32"/>
          <w:shd w:val="clear" w:color="auto" w:fill="FFFFFF"/>
          <w:lang w:bidi="ar"/>
        </w:rPr>
        <w:t>（五）生长在已征收未出让土地上的古树名木和古树后续资源，做地主体为养护责任人；土地出让后，土地使用权人为养护责任人；</w:t>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（六）其他生长在城市住宅小区、居民私人庭院范围内的古树名木和古树后续资源，其所有人或者受所有人委托管理的单位为养护责任人。</w:t>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养护责任人不明确或者有异议的，由古树名木和古树后续资源所在地区、县（市）古树名木行政主管部门协调确定。</w:t>
      </w:r>
      <w:r>
        <w:rPr>
          <w:rFonts w:hint="eastAsia" w:ascii="仿宋_GB2312" w:hAnsi="仿宋_GB2312" w:eastAsia="仿宋_GB2312" w:cs="仿宋_GB2312"/>
          <w:color w:val="333333"/>
          <w:spacing w:val="0"/>
          <w:kern w:val="0"/>
          <w:sz w:val="32"/>
          <w:szCs w:val="32"/>
          <w:shd w:val="clear" w:color="auto" w:fill="FFFFFF"/>
          <w:lang w:bidi="ar"/>
        </w:rPr>
        <w:fldChar w:fldCharType="begin"/>
      </w:r>
      <w:r>
        <w:rPr>
          <w:rFonts w:hint="eastAsia" w:ascii="仿宋_GB2312" w:hAnsi="仿宋_GB2312" w:eastAsia="仿宋_GB2312" w:cs="仿宋_GB2312"/>
          <w:color w:val="333333"/>
          <w:spacing w:val="0"/>
          <w:kern w:val="0"/>
          <w:sz w:val="32"/>
          <w:szCs w:val="32"/>
          <w:shd w:val="clear" w:color="auto" w:fill="FFFFFF"/>
          <w:lang w:bidi="ar"/>
        </w:rPr>
        <w:instrText xml:space="preserve">HYPERLINK "javascript:void(0);"</w:instrText>
      </w:r>
      <w:r>
        <w:rPr>
          <w:rFonts w:hint="eastAsia" w:ascii="仿宋_GB2312" w:hAnsi="仿宋_GB2312" w:eastAsia="仿宋_GB2312" w:cs="仿宋_GB2312"/>
          <w:color w:val="333333"/>
          <w:spacing w:val="0"/>
          <w:kern w:val="0"/>
          <w:sz w:val="32"/>
          <w:szCs w:val="32"/>
          <w:shd w:val="clear" w:color="auto" w:fill="FFFFFF"/>
          <w:lang w:bidi="ar"/>
        </w:rPr>
        <w:fldChar w:fldCharType="separate"/>
      </w:r>
      <w:r>
        <w:rPr>
          <w:rFonts w:hint="eastAsia" w:ascii="仿宋_GB2312" w:hAnsi="仿宋_GB2312" w:eastAsia="仿宋_GB2312" w:cs="仿宋_GB2312"/>
          <w:color w:val="333333"/>
          <w:spacing w:val="0"/>
          <w:kern w:val="0"/>
          <w:sz w:val="32"/>
          <w:szCs w:val="32"/>
          <w:shd w:val="clear" w:color="auto" w:fill="FFFFFF"/>
          <w:lang w:bidi="ar"/>
        </w:rPr>
        <w:fldChar w:fldCharType="end"/>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b w:val="0"/>
          <w:color w:val="000000"/>
          <w:spacing w:val="0"/>
          <w:kern w:val="0"/>
          <w:sz w:val="32"/>
          <w:szCs w:val="32"/>
          <w:lang w:bidi="ar"/>
        </w:rPr>
        <w:t>第十五条</w:t>
      </w:r>
      <w:r>
        <w:rPr>
          <w:rFonts w:hint="eastAsia" w:ascii="宋体" w:hAnsi="宋体"/>
          <w:b/>
          <w:color w:val="000000"/>
          <w:spacing w:val="-6"/>
          <w:kern w:val="2"/>
          <w:sz w:val="32"/>
        </w:rPr>
        <w:t xml:space="preserve"> </w:t>
      </w:r>
      <w:r>
        <w:rPr>
          <w:rFonts w:hint="eastAsia" w:ascii="宋体" w:hAnsi="宋体"/>
          <w:color w:val="000000"/>
          <w:spacing w:val="-6"/>
          <w:kern w:val="2"/>
          <w:sz w:val="32"/>
        </w:rPr>
        <w:t xml:space="preserve"> </w:t>
      </w:r>
      <w:r>
        <w:rPr>
          <w:rFonts w:hint="eastAsia" w:ascii="仿宋_GB2312" w:hAnsi="仿宋_GB2312" w:eastAsia="仿宋_GB2312" w:cs="仿宋_GB2312"/>
          <w:color w:val="333333"/>
          <w:spacing w:val="0"/>
          <w:kern w:val="0"/>
          <w:sz w:val="32"/>
          <w:szCs w:val="32"/>
          <w:shd w:val="clear" w:color="auto" w:fill="FFFFFF"/>
          <w:lang w:bidi="ar"/>
        </w:rPr>
        <w:t>区、县（市）古树名木行政主管部门应当建立古树名木养护激励机制，与古树名木养护责任人签订养护协议，明确养护责任、养护要求、奖惩措施等事项，并根据保护级别、养护状况和费用支出等情况给予养护责任人适当费用补助。</w:t>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古树名木养护责任人发生变更的，应当及时与古树名木行政主管部门办理养护责任转移手续，重新签订养护协议。</w:t>
      </w:r>
    </w:p>
    <w:p>
      <w:pPr>
        <w:pStyle w:val="4"/>
        <w:keepNext w:val="0"/>
        <w:keepLines w:val="0"/>
        <w:pageBreakBefore w:val="0"/>
        <w:widowControl w:val="0"/>
        <w:kinsoku/>
        <w:wordWrap/>
        <w:overflowPunct/>
        <w:topLinePunct w:val="0"/>
        <w:autoSpaceDE/>
        <w:autoSpaceDN/>
        <w:adjustRightInd/>
        <w:snapToGrid w:val="0"/>
        <w:spacing w:line="336" w:lineRule="auto"/>
        <w:ind w:left="0" w:leftChars="0" w:right="0" w:rightChars="0" w:firstLineChars="200"/>
        <w:jc w:val="both"/>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b w:val="0"/>
          <w:color w:val="000000"/>
          <w:spacing w:val="0"/>
          <w:kern w:val="0"/>
          <w:sz w:val="32"/>
          <w:szCs w:val="32"/>
          <w:lang w:bidi="ar"/>
        </w:rPr>
        <w:t>第十六条</w:t>
      </w:r>
      <w:r>
        <w:rPr>
          <w:rFonts w:hint="eastAsia" w:ascii="宋体" w:hAnsi="宋体"/>
          <w:b/>
          <w:color w:val="000000"/>
          <w:spacing w:val="-6"/>
          <w:kern w:val="2"/>
          <w:sz w:val="32"/>
        </w:rPr>
        <w:t xml:space="preserve"> </w:t>
      </w:r>
      <w:r>
        <w:rPr>
          <w:rFonts w:ascii="宋体" w:hAnsi="宋体"/>
          <w:color w:val="000000"/>
          <w:spacing w:val="-6"/>
          <w:kern w:val="2"/>
          <w:sz w:val="32"/>
        </w:rPr>
        <w:t xml:space="preserve"> </w:t>
      </w:r>
      <w:r>
        <w:rPr>
          <w:rFonts w:hint="eastAsia" w:ascii="仿宋_GB2312" w:hAnsi="仿宋_GB2312" w:eastAsia="仿宋_GB2312" w:cs="仿宋_GB2312"/>
          <w:color w:val="333333"/>
          <w:spacing w:val="0"/>
          <w:kern w:val="0"/>
          <w:sz w:val="32"/>
          <w:szCs w:val="32"/>
          <w:shd w:val="clear" w:color="auto" w:fill="FFFFFF"/>
          <w:lang w:bidi="ar"/>
        </w:rPr>
        <w:t>市古树名木行政主管部门负责制定古树名木日常养护技术导则，并向社会公布。</w:t>
      </w:r>
    </w:p>
    <w:p>
      <w:pPr>
        <w:pStyle w:val="4"/>
        <w:keepNext w:val="0"/>
        <w:keepLines w:val="0"/>
        <w:pageBreakBefore w:val="0"/>
        <w:widowControl w:val="0"/>
        <w:kinsoku/>
        <w:wordWrap/>
        <w:overflowPunct/>
        <w:topLinePunct w:val="0"/>
        <w:autoSpaceDE/>
        <w:autoSpaceDN/>
        <w:adjustRightInd/>
        <w:snapToGrid w:val="0"/>
        <w:spacing w:line="336" w:lineRule="auto"/>
        <w:ind w:left="0" w:leftChars="0" w:right="0" w:rightChars="0" w:firstLineChars="200"/>
        <w:jc w:val="both"/>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古树名木行政主管部门应当无偿向养护责任人提供必要的养护知识宣传培训和养护技术指导。</w:t>
      </w:r>
    </w:p>
    <w:p>
      <w:pPr>
        <w:pStyle w:val="4"/>
        <w:keepNext w:val="0"/>
        <w:keepLines w:val="0"/>
        <w:pageBreakBefore w:val="0"/>
        <w:widowControl w:val="0"/>
        <w:kinsoku/>
        <w:wordWrap/>
        <w:overflowPunct/>
        <w:topLinePunct w:val="0"/>
        <w:autoSpaceDE/>
        <w:autoSpaceDN/>
        <w:adjustRightInd/>
        <w:snapToGrid w:val="0"/>
        <w:spacing w:line="336" w:lineRule="auto"/>
        <w:ind w:left="0" w:leftChars="0" w:right="0" w:rightChars="0" w:firstLineChars="200"/>
        <w:jc w:val="both"/>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养护责任人应当按照日常养护技术导则对古树名木和古树后续资源进行日常养护。在日常养护管理中，养护责任人可以向古树名木行政主管部门寻求养护技术指导。</w:t>
      </w:r>
    </w:p>
    <w:p>
      <w:pPr>
        <w:pStyle w:val="4"/>
        <w:keepNext w:val="0"/>
        <w:keepLines w:val="0"/>
        <w:pageBreakBefore w:val="0"/>
        <w:widowControl w:val="0"/>
        <w:kinsoku/>
        <w:wordWrap/>
        <w:overflowPunct/>
        <w:topLinePunct w:val="0"/>
        <w:autoSpaceDE/>
        <w:autoSpaceDN/>
        <w:adjustRightInd/>
        <w:snapToGrid w:val="0"/>
        <w:spacing w:line="336" w:lineRule="auto"/>
        <w:ind w:left="0" w:leftChars="0" w:right="0" w:rightChars="0" w:firstLineChars="200"/>
        <w:jc w:val="both"/>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b w:val="0"/>
          <w:color w:val="000000"/>
          <w:spacing w:val="0"/>
          <w:kern w:val="0"/>
          <w:sz w:val="32"/>
          <w:szCs w:val="32"/>
          <w:lang w:bidi="ar"/>
        </w:rPr>
        <w:t>第十七条</w:t>
      </w:r>
      <w:r>
        <w:rPr>
          <w:rFonts w:hint="eastAsia" w:ascii="宋体" w:hAnsi="宋体" w:eastAsia="仿宋_GB2312"/>
          <w:b/>
          <w:color w:val="000000"/>
          <w:spacing w:val="-6"/>
          <w:kern w:val="2"/>
          <w:sz w:val="32"/>
        </w:rPr>
        <w:t xml:space="preserve">  </w:t>
      </w:r>
      <w:r>
        <w:rPr>
          <w:rFonts w:hint="eastAsia" w:ascii="仿宋_GB2312" w:hAnsi="仿宋_GB2312" w:eastAsia="仿宋_GB2312" w:cs="仿宋_GB2312"/>
          <w:color w:val="333333"/>
          <w:spacing w:val="0"/>
          <w:kern w:val="0"/>
          <w:sz w:val="32"/>
          <w:szCs w:val="32"/>
          <w:shd w:val="clear" w:color="auto" w:fill="FFFFFF"/>
          <w:lang w:bidi="ar"/>
        </w:rPr>
        <w:t>区、县（市）古树名木行政主管部门应当定期组织专业技术人员对古树名木和古树后续资源进行专业养护。</w:t>
      </w:r>
    </w:p>
    <w:p>
      <w:pPr>
        <w:pStyle w:val="4"/>
        <w:keepNext w:val="0"/>
        <w:keepLines w:val="0"/>
        <w:pageBreakBefore w:val="0"/>
        <w:widowControl w:val="0"/>
        <w:kinsoku/>
        <w:wordWrap/>
        <w:overflowPunct/>
        <w:topLinePunct w:val="0"/>
        <w:autoSpaceDE/>
        <w:autoSpaceDN/>
        <w:adjustRightInd/>
        <w:snapToGrid w:val="0"/>
        <w:spacing w:line="336" w:lineRule="auto"/>
        <w:ind w:left="0" w:leftChars="0" w:right="0" w:rightChars="0" w:firstLineChars="200"/>
        <w:jc w:val="both"/>
        <w:textAlignment w:val="auto"/>
        <w:outlineLvl w:val="9"/>
        <w:rPr>
          <w:spacing w:val="-6"/>
          <w:kern w:val="2"/>
        </w:rPr>
      </w:pPr>
      <w:r>
        <w:rPr>
          <w:rFonts w:hint="eastAsia" w:ascii="仿宋_GB2312" w:hAnsi="仿宋_GB2312" w:eastAsia="仿宋_GB2312" w:cs="仿宋_GB2312"/>
          <w:color w:val="333333"/>
          <w:spacing w:val="0"/>
          <w:kern w:val="0"/>
          <w:sz w:val="32"/>
          <w:szCs w:val="32"/>
          <w:shd w:val="clear" w:color="auto" w:fill="FFFFFF"/>
          <w:lang w:bidi="ar"/>
        </w:rPr>
        <w:t>养护责任人发现古树名木和古树后续资源遭受损害或者长势明显衰退时，应当及时报告区、县（市）古树名木行政主管部门。</w:t>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b w:val="0"/>
          <w:color w:val="000000"/>
          <w:spacing w:val="0"/>
          <w:kern w:val="0"/>
          <w:sz w:val="32"/>
          <w:szCs w:val="32"/>
          <w:lang w:bidi="ar"/>
        </w:rPr>
        <w:t>第十八条</w:t>
      </w:r>
      <w:r>
        <w:rPr>
          <w:rFonts w:hint="eastAsia" w:ascii="宋体" w:hAnsi="宋体"/>
          <w:b/>
          <w:color w:val="000000"/>
          <w:spacing w:val="-6"/>
          <w:kern w:val="2"/>
          <w:sz w:val="32"/>
        </w:rPr>
        <w:t xml:space="preserve"> </w:t>
      </w:r>
      <w:r>
        <w:rPr>
          <w:rFonts w:hint="eastAsia" w:ascii="宋体" w:hAnsi="宋体"/>
          <w:color w:val="000000"/>
          <w:spacing w:val="-6"/>
          <w:kern w:val="2"/>
          <w:sz w:val="32"/>
        </w:rPr>
        <w:t xml:space="preserve"> </w:t>
      </w:r>
      <w:r>
        <w:rPr>
          <w:rFonts w:hint="eastAsia" w:ascii="仿宋_GB2312" w:hAnsi="仿宋_GB2312" w:eastAsia="仿宋_GB2312" w:cs="仿宋_GB2312"/>
          <w:color w:val="333333"/>
          <w:spacing w:val="0"/>
          <w:kern w:val="0"/>
          <w:sz w:val="32"/>
          <w:szCs w:val="32"/>
          <w:shd w:val="clear" w:color="auto" w:fill="FFFFFF"/>
          <w:lang w:bidi="ar"/>
        </w:rPr>
        <w:t>区、县（市）古树名木行政主管部门应当按照下列规定，定期对古树名木和古树后续资源的生长和养护情况进行检查：</w:t>
      </w:r>
      <w:r>
        <w:rPr>
          <w:rFonts w:hint="eastAsia" w:ascii="仿宋_GB2312" w:hAnsi="仿宋_GB2312" w:eastAsia="仿宋_GB2312" w:cs="仿宋_GB2312"/>
          <w:color w:val="333333"/>
          <w:spacing w:val="0"/>
          <w:kern w:val="0"/>
          <w:sz w:val="32"/>
          <w:szCs w:val="32"/>
          <w:shd w:val="clear" w:color="auto" w:fill="FFFFFF"/>
          <w:lang w:bidi="ar"/>
        </w:rPr>
        <w:fldChar w:fldCharType="begin"/>
      </w:r>
      <w:r>
        <w:rPr>
          <w:rFonts w:hint="eastAsia" w:ascii="仿宋_GB2312" w:hAnsi="仿宋_GB2312" w:eastAsia="仿宋_GB2312" w:cs="仿宋_GB2312"/>
          <w:color w:val="333333"/>
          <w:spacing w:val="0"/>
          <w:kern w:val="0"/>
          <w:sz w:val="32"/>
          <w:szCs w:val="32"/>
          <w:shd w:val="clear" w:color="auto" w:fill="FFFFFF"/>
          <w:lang w:bidi="ar"/>
        </w:rPr>
        <w:instrText xml:space="preserve">HYPERLINK "javascript:void(0);"</w:instrText>
      </w:r>
      <w:r>
        <w:rPr>
          <w:rFonts w:hint="eastAsia" w:ascii="仿宋_GB2312" w:hAnsi="仿宋_GB2312" w:eastAsia="仿宋_GB2312" w:cs="仿宋_GB2312"/>
          <w:color w:val="333333"/>
          <w:spacing w:val="0"/>
          <w:kern w:val="0"/>
          <w:sz w:val="32"/>
          <w:szCs w:val="32"/>
          <w:shd w:val="clear" w:color="auto" w:fill="FFFFFF"/>
          <w:lang w:bidi="ar"/>
        </w:rPr>
        <w:fldChar w:fldCharType="separate"/>
      </w:r>
      <w:r>
        <w:rPr>
          <w:rFonts w:hint="eastAsia" w:ascii="仿宋_GB2312" w:hAnsi="仿宋_GB2312" w:eastAsia="仿宋_GB2312" w:cs="仿宋_GB2312"/>
          <w:color w:val="333333"/>
          <w:spacing w:val="0"/>
          <w:kern w:val="0"/>
          <w:sz w:val="32"/>
          <w:szCs w:val="32"/>
          <w:shd w:val="clear" w:color="auto" w:fill="FFFFFF"/>
          <w:lang w:bidi="ar"/>
        </w:rPr>
        <w:fldChar w:fldCharType="end"/>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（一）对名木、树龄五百年以上的古树，每一个月至少检查一次；</w:t>
      </w:r>
      <w:r>
        <w:rPr>
          <w:rFonts w:hint="eastAsia" w:ascii="仿宋_GB2312" w:hAnsi="仿宋_GB2312" w:eastAsia="仿宋_GB2312" w:cs="仿宋_GB2312"/>
          <w:color w:val="333333"/>
          <w:spacing w:val="0"/>
          <w:kern w:val="0"/>
          <w:sz w:val="32"/>
          <w:szCs w:val="32"/>
          <w:shd w:val="clear" w:color="auto" w:fill="FFFFFF"/>
          <w:lang w:bidi="ar"/>
        </w:rPr>
        <w:fldChar w:fldCharType="begin"/>
      </w:r>
      <w:r>
        <w:rPr>
          <w:rFonts w:hint="eastAsia" w:ascii="仿宋_GB2312" w:hAnsi="仿宋_GB2312" w:eastAsia="仿宋_GB2312" w:cs="仿宋_GB2312"/>
          <w:color w:val="333333"/>
          <w:spacing w:val="0"/>
          <w:kern w:val="0"/>
          <w:sz w:val="32"/>
          <w:szCs w:val="32"/>
          <w:shd w:val="clear" w:color="auto" w:fill="FFFFFF"/>
          <w:lang w:bidi="ar"/>
        </w:rPr>
        <w:instrText xml:space="preserve">HYPERLINK "javascript:void(0);"</w:instrText>
      </w:r>
      <w:r>
        <w:rPr>
          <w:rFonts w:hint="eastAsia" w:ascii="仿宋_GB2312" w:hAnsi="仿宋_GB2312" w:eastAsia="仿宋_GB2312" w:cs="仿宋_GB2312"/>
          <w:color w:val="333333"/>
          <w:spacing w:val="0"/>
          <w:kern w:val="0"/>
          <w:sz w:val="32"/>
          <w:szCs w:val="32"/>
          <w:shd w:val="clear" w:color="auto" w:fill="FFFFFF"/>
          <w:lang w:bidi="ar"/>
        </w:rPr>
        <w:fldChar w:fldCharType="separate"/>
      </w:r>
      <w:r>
        <w:rPr>
          <w:rFonts w:hint="eastAsia" w:ascii="仿宋_GB2312" w:hAnsi="仿宋_GB2312" w:eastAsia="仿宋_GB2312" w:cs="仿宋_GB2312"/>
          <w:color w:val="333333"/>
          <w:spacing w:val="0"/>
          <w:kern w:val="0"/>
          <w:sz w:val="32"/>
          <w:szCs w:val="32"/>
          <w:shd w:val="clear" w:color="auto" w:fill="FFFFFF"/>
          <w:lang w:bidi="ar"/>
        </w:rPr>
        <w:fldChar w:fldCharType="end"/>
      </w:r>
      <w:bookmarkStart w:id="8" w:name="tiao19_kuan1_xiang1"/>
      <w:bookmarkEnd w:id="8"/>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bookmarkStart w:id="9" w:name="tiao_19_kuan_1_xiang_2"/>
      <w:bookmarkEnd w:id="9"/>
      <w:r>
        <w:rPr>
          <w:rFonts w:hint="eastAsia" w:ascii="仿宋_GB2312" w:hAnsi="仿宋_GB2312" w:eastAsia="仿宋_GB2312" w:cs="仿宋_GB2312"/>
          <w:color w:val="333333"/>
          <w:spacing w:val="0"/>
          <w:kern w:val="0"/>
          <w:sz w:val="32"/>
          <w:szCs w:val="32"/>
          <w:shd w:val="clear" w:color="auto" w:fill="FFFFFF"/>
          <w:lang w:bidi="ar"/>
        </w:rPr>
        <w:t>（二）对树龄不满五百年的古树，每三个月至少检查一次；</w:t>
      </w:r>
      <w:r>
        <w:rPr>
          <w:rFonts w:hint="eastAsia" w:ascii="仿宋_GB2312" w:hAnsi="仿宋_GB2312" w:eastAsia="仿宋_GB2312" w:cs="仿宋_GB2312"/>
          <w:color w:val="333333"/>
          <w:spacing w:val="0"/>
          <w:kern w:val="0"/>
          <w:sz w:val="32"/>
          <w:szCs w:val="32"/>
          <w:shd w:val="clear" w:color="auto" w:fill="FFFFFF"/>
          <w:lang w:bidi="ar"/>
        </w:rPr>
        <w:fldChar w:fldCharType="begin"/>
      </w:r>
      <w:r>
        <w:rPr>
          <w:rFonts w:hint="eastAsia" w:ascii="仿宋_GB2312" w:hAnsi="仿宋_GB2312" w:eastAsia="仿宋_GB2312" w:cs="仿宋_GB2312"/>
          <w:color w:val="333333"/>
          <w:spacing w:val="0"/>
          <w:kern w:val="0"/>
          <w:sz w:val="32"/>
          <w:szCs w:val="32"/>
          <w:shd w:val="clear" w:color="auto" w:fill="FFFFFF"/>
          <w:lang w:bidi="ar"/>
        </w:rPr>
        <w:instrText xml:space="preserve">HYPERLINK "javascript:void(0);"</w:instrText>
      </w:r>
      <w:r>
        <w:rPr>
          <w:rFonts w:hint="eastAsia" w:ascii="仿宋_GB2312" w:hAnsi="仿宋_GB2312" w:eastAsia="仿宋_GB2312" w:cs="仿宋_GB2312"/>
          <w:color w:val="333333"/>
          <w:spacing w:val="0"/>
          <w:kern w:val="0"/>
          <w:sz w:val="32"/>
          <w:szCs w:val="32"/>
          <w:shd w:val="clear" w:color="auto" w:fill="FFFFFF"/>
          <w:lang w:bidi="ar"/>
        </w:rPr>
        <w:fldChar w:fldCharType="separate"/>
      </w:r>
      <w:r>
        <w:rPr>
          <w:rFonts w:hint="eastAsia" w:ascii="仿宋_GB2312" w:hAnsi="仿宋_GB2312" w:eastAsia="仿宋_GB2312" w:cs="仿宋_GB2312"/>
          <w:color w:val="333333"/>
          <w:spacing w:val="0"/>
          <w:kern w:val="0"/>
          <w:sz w:val="32"/>
          <w:szCs w:val="32"/>
          <w:shd w:val="clear" w:color="auto" w:fill="FFFFFF"/>
          <w:lang w:bidi="ar"/>
        </w:rPr>
        <w:fldChar w:fldCharType="end"/>
      </w:r>
      <w:bookmarkStart w:id="10" w:name="tiao19_kuan1_xiang2"/>
      <w:bookmarkEnd w:id="10"/>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bookmarkStart w:id="11" w:name="tiao_19_kuan_1_xiang_3"/>
      <w:bookmarkEnd w:id="11"/>
      <w:r>
        <w:rPr>
          <w:rFonts w:hint="eastAsia" w:ascii="仿宋_GB2312" w:hAnsi="仿宋_GB2312" w:eastAsia="仿宋_GB2312" w:cs="仿宋_GB2312"/>
          <w:color w:val="333333"/>
          <w:spacing w:val="0"/>
          <w:kern w:val="0"/>
          <w:sz w:val="32"/>
          <w:szCs w:val="32"/>
          <w:shd w:val="clear" w:color="auto" w:fill="FFFFFF"/>
          <w:lang w:bidi="ar"/>
        </w:rPr>
        <w:t>（三）对古树后续资源，每六个月至少检查一次。</w:t>
      </w:r>
      <w:r>
        <w:rPr>
          <w:rFonts w:hint="eastAsia" w:ascii="仿宋_GB2312" w:hAnsi="仿宋_GB2312" w:eastAsia="仿宋_GB2312" w:cs="仿宋_GB2312"/>
          <w:color w:val="333333"/>
          <w:spacing w:val="0"/>
          <w:kern w:val="0"/>
          <w:sz w:val="32"/>
          <w:szCs w:val="32"/>
          <w:shd w:val="clear" w:color="auto" w:fill="FFFFFF"/>
          <w:lang w:bidi="ar"/>
        </w:rPr>
        <w:fldChar w:fldCharType="begin"/>
      </w:r>
      <w:r>
        <w:rPr>
          <w:rFonts w:hint="eastAsia" w:ascii="仿宋_GB2312" w:hAnsi="仿宋_GB2312" w:eastAsia="仿宋_GB2312" w:cs="仿宋_GB2312"/>
          <w:color w:val="333333"/>
          <w:spacing w:val="0"/>
          <w:kern w:val="0"/>
          <w:sz w:val="32"/>
          <w:szCs w:val="32"/>
          <w:shd w:val="clear" w:color="auto" w:fill="FFFFFF"/>
          <w:lang w:bidi="ar"/>
        </w:rPr>
        <w:instrText xml:space="preserve">HYPERLINK "javascript:void(0);"</w:instrText>
      </w:r>
      <w:r>
        <w:rPr>
          <w:rFonts w:hint="eastAsia" w:ascii="仿宋_GB2312" w:hAnsi="仿宋_GB2312" w:eastAsia="仿宋_GB2312" w:cs="仿宋_GB2312"/>
          <w:color w:val="333333"/>
          <w:spacing w:val="0"/>
          <w:kern w:val="0"/>
          <w:sz w:val="32"/>
          <w:szCs w:val="32"/>
          <w:shd w:val="clear" w:color="auto" w:fill="FFFFFF"/>
          <w:lang w:bidi="ar"/>
        </w:rPr>
        <w:fldChar w:fldCharType="separate"/>
      </w:r>
      <w:r>
        <w:rPr>
          <w:rFonts w:hint="eastAsia" w:ascii="仿宋_GB2312" w:hAnsi="仿宋_GB2312" w:eastAsia="仿宋_GB2312" w:cs="仿宋_GB2312"/>
          <w:color w:val="333333"/>
          <w:spacing w:val="0"/>
          <w:kern w:val="0"/>
          <w:sz w:val="32"/>
          <w:szCs w:val="32"/>
          <w:shd w:val="clear" w:color="auto" w:fill="FFFFFF"/>
          <w:lang w:bidi="ar"/>
        </w:rPr>
        <w:fldChar w:fldCharType="end"/>
      </w:r>
      <w:bookmarkStart w:id="12" w:name="tiao19_kuan1_xiang3"/>
      <w:bookmarkEnd w:id="12"/>
    </w:p>
    <w:p>
      <w:pPr>
        <w:keepNext w:val="0"/>
        <w:keepLines w:val="0"/>
        <w:pageBreakBefore w:val="0"/>
        <w:shd w:val="clear" w:color="auto" w:fill="FFFFFF"/>
        <w:kinsoku/>
        <w:wordWrap/>
        <w:overflowPunct/>
        <w:topLinePunct w:val="0"/>
        <w:adjustRightInd/>
        <w:snapToGrid w:val="0"/>
        <w:spacing w:line="336" w:lineRule="auto"/>
        <w:ind w:left="0" w:leftChars="0" w:right="0" w:rightChars="0" w:firstLineChars="200"/>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b w:val="0"/>
          <w:color w:val="000000"/>
          <w:spacing w:val="0"/>
          <w:kern w:val="0"/>
          <w:sz w:val="32"/>
          <w:szCs w:val="32"/>
          <w:lang w:bidi="ar"/>
        </w:rPr>
        <w:t xml:space="preserve">第十九条 </w:t>
      </w:r>
      <w:r>
        <w:rPr>
          <w:rFonts w:hint="eastAsia" w:ascii="宋体" w:hAnsi="宋体"/>
          <w:color w:val="000000"/>
          <w:spacing w:val="-6"/>
          <w:kern w:val="2"/>
          <w:sz w:val="32"/>
        </w:rPr>
        <w:t xml:space="preserve"> </w:t>
      </w:r>
      <w:r>
        <w:rPr>
          <w:rFonts w:hint="eastAsia" w:ascii="仿宋_GB2312" w:hAnsi="仿宋_GB2312" w:eastAsia="仿宋_GB2312" w:cs="仿宋_GB2312"/>
          <w:color w:val="333333"/>
          <w:spacing w:val="0"/>
          <w:kern w:val="0"/>
          <w:sz w:val="32"/>
          <w:szCs w:val="32"/>
          <w:shd w:val="clear" w:color="auto" w:fill="FFFFFF"/>
          <w:lang w:bidi="ar"/>
        </w:rPr>
        <w:t>区、县（市）古树名木行政主管部门接到古树名木和古树后续资源遭受损害或者长势明显衰退的报告，或者发现古树名木和古树后续资源生长异常、环境状况影响生长的，应当及时组织采取抢救、复壮等处理措施，必要时组织专业技术人员开展抢救性保护工作。</w:t>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b w:val="0"/>
          <w:color w:val="000000"/>
          <w:spacing w:val="0"/>
          <w:kern w:val="0"/>
          <w:sz w:val="32"/>
          <w:szCs w:val="32"/>
          <w:lang w:bidi="ar"/>
        </w:rPr>
        <w:t xml:space="preserve">第二十条 </w:t>
      </w:r>
      <w:r>
        <w:rPr>
          <w:rFonts w:hint="eastAsia" w:ascii="宋体" w:hAnsi="宋体"/>
          <w:b/>
          <w:color w:val="000000"/>
          <w:spacing w:val="-6"/>
          <w:kern w:val="2"/>
          <w:sz w:val="32"/>
        </w:rPr>
        <w:t xml:space="preserve"> </w:t>
      </w:r>
      <w:r>
        <w:rPr>
          <w:rFonts w:hint="eastAsia" w:ascii="仿宋_GB2312" w:hAnsi="仿宋_GB2312" w:eastAsia="仿宋_GB2312" w:cs="仿宋_GB2312"/>
          <w:color w:val="333333"/>
          <w:spacing w:val="0"/>
          <w:kern w:val="0"/>
          <w:sz w:val="32"/>
          <w:szCs w:val="32"/>
          <w:shd w:val="clear" w:color="auto" w:fill="FFFFFF"/>
          <w:lang w:bidi="ar"/>
        </w:rPr>
        <w:t>古树名木行政主管部门应当组织制定应急预案，预防重大灾害对古树名木和古树后续资源造成损害，综合运用现代科学技术与工艺，对古树名木和古树后续资源设置监控、病虫害监测、支撑、围栏、防雷、防护、引排水等应急管理设施并定期维护，提高古树名木和古树后续资源的防灾减灾能力。</w:t>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宋体" w:hAnsi="宋体"/>
          <w:b/>
          <w:color w:val="000000"/>
          <w:spacing w:val="-6"/>
          <w:kern w:val="2"/>
          <w:sz w:val="32"/>
        </w:rPr>
      </w:pPr>
      <w:r>
        <w:rPr>
          <w:rFonts w:hint="eastAsia" w:ascii="仿宋_GB2312" w:hAnsi="仿宋_GB2312" w:eastAsia="仿宋_GB2312" w:cs="仿宋_GB2312"/>
          <w:color w:val="333333"/>
          <w:spacing w:val="0"/>
          <w:kern w:val="0"/>
          <w:sz w:val="32"/>
          <w:szCs w:val="32"/>
          <w:shd w:val="clear" w:color="auto" w:fill="FFFFFF"/>
          <w:lang w:bidi="ar"/>
        </w:rPr>
        <w:t>遇台风、暴雨、大雪等灾害性天气时，养护责任人应当及时对古树名木和古树后续资源采取安全防范措施。</w:t>
      </w:r>
    </w:p>
    <w:p>
      <w:pPr>
        <w:keepNext w:val="0"/>
        <w:keepLines w:val="0"/>
        <w:pageBreakBefore w:val="0"/>
        <w:kinsoku/>
        <w:wordWrap/>
        <w:overflowPunct/>
        <w:topLinePunct w:val="0"/>
        <w:adjustRightInd/>
        <w:snapToGrid w:val="0"/>
        <w:spacing w:line="336" w:lineRule="auto"/>
        <w:ind w:left="0" w:leftChars="0" w:right="0" w:rightChars="0" w:firstLineChars="200"/>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b w:val="0"/>
          <w:color w:val="000000"/>
          <w:spacing w:val="0"/>
          <w:kern w:val="0"/>
          <w:sz w:val="32"/>
          <w:szCs w:val="32"/>
          <w:lang w:bidi="ar"/>
        </w:rPr>
        <w:t xml:space="preserve">第二十一条 </w:t>
      </w:r>
      <w:r>
        <w:rPr>
          <w:rStyle w:val="14"/>
          <w:rFonts w:hint="eastAsia" w:ascii="宋体" w:hAnsi="宋体"/>
          <w:color w:val="000000"/>
          <w:spacing w:val="-6"/>
          <w:kern w:val="2"/>
          <w:sz w:val="32"/>
        </w:rPr>
        <w:t xml:space="preserve"> </w:t>
      </w:r>
      <w:r>
        <w:rPr>
          <w:rFonts w:hint="eastAsia" w:ascii="仿宋_GB2312" w:hAnsi="仿宋_GB2312" w:eastAsia="仿宋_GB2312" w:cs="仿宋_GB2312"/>
          <w:color w:val="333333"/>
          <w:spacing w:val="0"/>
          <w:kern w:val="0"/>
          <w:sz w:val="32"/>
          <w:szCs w:val="32"/>
          <w:shd w:val="clear" w:color="auto" w:fill="FFFFFF"/>
          <w:lang w:bidi="ar"/>
        </w:rPr>
        <w:t>鼓励建立古树名木和古树后续资源保险制度。单位和个人可以根据古树名木和古树后续资源保护管理实际需要购买保险。</w:t>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b w:val="0"/>
          <w:color w:val="000000"/>
          <w:spacing w:val="0"/>
          <w:kern w:val="0"/>
          <w:sz w:val="32"/>
          <w:szCs w:val="32"/>
          <w:lang w:bidi="ar"/>
        </w:rPr>
        <w:t>第二十二条</w:t>
      </w:r>
      <w:r>
        <w:rPr>
          <w:rFonts w:ascii="宋体" w:hAnsi="宋体"/>
          <w:color w:val="000000"/>
          <w:spacing w:val="-6"/>
          <w:kern w:val="2"/>
          <w:sz w:val="32"/>
        </w:rPr>
        <w:t xml:space="preserve"> </w:t>
      </w:r>
      <w:r>
        <w:rPr>
          <w:rFonts w:hint="eastAsia" w:ascii="宋体" w:hAnsi="宋体"/>
          <w:color w:val="000000"/>
          <w:spacing w:val="-6"/>
          <w:kern w:val="2"/>
          <w:sz w:val="32"/>
        </w:rPr>
        <w:t xml:space="preserve"> </w:t>
      </w:r>
      <w:r>
        <w:rPr>
          <w:rFonts w:hint="eastAsia" w:ascii="仿宋_GB2312" w:hAnsi="仿宋_GB2312" w:eastAsia="仿宋_GB2312" w:cs="仿宋_GB2312"/>
          <w:color w:val="333333"/>
          <w:spacing w:val="0"/>
          <w:kern w:val="0"/>
          <w:sz w:val="32"/>
          <w:szCs w:val="32"/>
          <w:shd w:val="clear" w:color="auto" w:fill="FFFFFF"/>
          <w:lang w:bidi="ar"/>
        </w:rPr>
        <w:t>古树名木疑似死亡的，养护责任人应当及时向所在地的区、县（市）古树名木行政主管部门报告。古树名木行政主管部门应当自接到报告之日起十个工作日内组织技术人员进行核实、鉴定并查明原因；确认死亡的，按规定注销档案。</w:t>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已死亡的古树名木具有重要景观、文化、科研价值的，养护责任人应当配合古树名木行政主管部门采取相应措施予以保留，任何单位和个人不得擅自处理。</w:t>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需要砍伐已死亡古树名木的，应当向所在地的区、县（市）古树名木行政主管部门提出申请，由市和区、县（市）古树名木行政主管部门根据市人民政府规定的职责分工作出决定。</w:t>
      </w:r>
    </w:p>
    <w:p>
      <w:pPr>
        <w:keepNext w:val="0"/>
        <w:keepLines w:val="0"/>
        <w:pageBreakBefore w:val="0"/>
        <w:kinsoku/>
        <w:wordWrap/>
        <w:overflowPunct/>
        <w:topLinePunct w:val="0"/>
        <w:adjustRightInd/>
        <w:snapToGrid w:val="0"/>
        <w:spacing w:line="336" w:lineRule="auto"/>
        <w:ind w:left="0" w:leftChars="0" w:right="0" w:rightChars="0" w:firstLineChars="200"/>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b w:val="0"/>
          <w:color w:val="000000"/>
          <w:spacing w:val="0"/>
          <w:kern w:val="0"/>
          <w:sz w:val="32"/>
          <w:szCs w:val="32"/>
          <w:lang w:bidi="ar"/>
        </w:rPr>
        <w:t>第二十三条</w:t>
      </w:r>
      <w:r>
        <w:rPr>
          <w:color w:val="000000"/>
          <w:spacing w:val="-6"/>
          <w:kern w:val="2"/>
          <w:sz w:val="32"/>
        </w:rPr>
        <w:t xml:space="preserve"> </w:t>
      </w:r>
      <w:r>
        <w:rPr>
          <w:rFonts w:hint="eastAsia"/>
          <w:color w:val="000000"/>
          <w:spacing w:val="-6"/>
          <w:kern w:val="2"/>
          <w:sz w:val="32"/>
        </w:rPr>
        <w:t xml:space="preserve"> </w:t>
      </w:r>
      <w:r>
        <w:rPr>
          <w:rFonts w:hint="eastAsia" w:ascii="仿宋_GB2312" w:hAnsi="仿宋_GB2312" w:eastAsia="仿宋_GB2312" w:cs="仿宋_GB2312"/>
          <w:color w:val="333333"/>
          <w:spacing w:val="0"/>
          <w:kern w:val="0"/>
          <w:sz w:val="32"/>
          <w:szCs w:val="32"/>
          <w:shd w:val="clear" w:color="auto" w:fill="FFFFFF"/>
          <w:lang w:bidi="ar"/>
        </w:rPr>
        <w:t>对于存在古树名木或者古树后续资源的国有建设用地，规划和自然资源主管部门在核发选址意见书或者确定规划条件阶段，应当告知古树名木行政主管部门，并将其提出的古树名木、古树后续资源保护要求纳入建设条件须知。</w:t>
      </w:r>
    </w:p>
    <w:p>
      <w:pPr>
        <w:keepNext w:val="0"/>
        <w:keepLines w:val="0"/>
        <w:pageBreakBefore w:val="0"/>
        <w:widowControl/>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b w:val="0"/>
          <w:color w:val="000000"/>
          <w:spacing w:val="0"/>
          <w:kern w:val="0"/>
          <w:sz w:val="32"/>
          <w:szCs w:val="32"/>
          <w:lang w:bidi="ar"/>
        </w:rPr>
        <w:t>第二十四条</w:t>
      </w:r>
      <w:r>
        <w:rPr>
          <w:rFonts w:hint="eastAsia" w:ascii="黑体" w:hAnsi="黑体" w:eastAsia="黑体"/>
          <w:b w:val="0"/>
          <w:color w:val="000000"/>
          <w:spacing w:val="-6"/>
          <w:kern w:val="2"/>
          <w:sz w:val="32"/>
        </w:rPr>
        <w:t xml:space="preserve"> </w:t>
      </w:r>
      <w:r>
        <w:rPr>
          <w:color w:val="000000"/>
          <w:spacing w:val="-6"/>
          <w:kern w:val="2"/>
          <w:sz w:val="32"/>
        </w:rPr>
        <w:t xml:space="preserve"> </w:t>
      </w:r>
      <w:r>
        <w:rPr>
          <w:rFonts w:hint="eastAsia" w:ascii="仿宋_GB2312" w:hAnsi="仿宋_GB2312" w:eastAsia="仿宋_GB2312" w:cs="仿宋_GB2312"/>
          <w:color w:val="333333"/>
          <w:spacing w:val="0"/>
          <w:kern w:val="0"/>
          <w:sz w:val="32"/>
          <w:szCs w:val="32"/>
          <w:shd w:val="clear" w:color="auto" w:fill="FFFFFF"/>
          <w:lang w:bidi="ar"/>
        </w:rPr>
        <w:t>古树名木的保护范围为树冠垂直投影区以及垂直投影区以外5米区域。古树后续资源的保护范围为树冠垂直投影区以及垂直投影区以外2米区域。</w:t>
      </w:r>
    </w:p>
    <w:p>
      <w:pPr>
        <w:keepNext w:val="0"/>
        <w:keepLines w:val="0"/>
        <w:pageBreakBefore w:val="0"/>
        <w:widowControl/>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在古树名木或者古树后续资源的保护范围内进行建设施工的，建设单位在施工前应当按照古树名木行政主管部门提出的保护要求制定保护方案，区、县（市）古树名木行政主管部门对保护方案的落实进行指导和督促。</w:t>
      </w:r>
    </w:p>
    <w:p>
      <w:pPr>
        <w:keepNext w:val="0"/>
        <w:keepLines w:val="0"/>
        <w:pageBreakBefore w:val="0"/>
        <w:widowControl/>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宋体" w:hAnsi="宋体"/>
          <w:color w:val="000000"/>
          <w:spacing w:val="-6"/>
          <w:kern w:val="2"/>
          <w:sz w:val="32"/>
        </w:rPr>
      </w:pPr>
      <w:r>
        <w:rPr>
          <w:rFonts w:hint="eastAsia" w:ascii="黑体" w:hAnsi="宋体" w:eastAsia="黑体" w:cs="黑体"/>
          <w:b w:val="0"/>
          <w:color w:val="000000"/>
          <w:spacing w:val="0"/>
          <w:kern w:val="0"/>
          <w:sz w:val="32"/>
          <w:szCs w:val="32"/>
          <w:lang w:bidi="ar"/>
        </w:rPr>
        <w:t>第二十五条</w:t>
      </w:r>
      <w:r>
        <w:rPr>
          <w:rFonts w:hint="eastAsia" w:ascii="宋体" w:hAnsi="宋体"/>
          <w:b/>
          <w:color w:val="000000"/>
          <w:spacing w:val="-6"/>
          <w:kern w:val="2"/>
          <w:sz w:val="32"/>
        </w:rPr>
        <w:t xml:space="preserve">  </w:t>
      </w:r>
      <w:r>
        <w:rPr>
          <w:rFonts w:hint="eastAsia" w:ascii="仿宋_GB2312" w:hAnsi="仿宋_GB2312" w:eastAsia="仿宋_GB2312" w:cs="仿宋_GB2312"/>
          <w:color w:val="333333"/>
          <w:spacing w:val="0"/>
          <w:kern w:val="0"/>
          <w:sz w:val="32"/>
          <w:szCs w:val="32"/>
          <w:shd w:val="clear" w:color="auto" w:fill="FFFFFF"/>
          <w:lang w:bidi="ar"/>
        </w:rPr>
        <w:t>存在古树名木的集体土地，因依法被征收或者农用地转为建设用地的，依照职责负责古树名木保护管理的单位应当及时向古树名木行政主管部门移交古树名木档案资料。</w:t>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b w:val="0"/>
          <w:color w:val="000000"/>
          <w:spacing w:val="0"/>
          <w:kern w:val="0"/>
          <w:sz w:val="32"/>
          <w:szCs w:val="32"/>
          <w:lang w:bidi="ar"/>
        </w:rPr>
        <w:t>第二十六条</w:t>
      </w:r>
      <w:r>
        <w:rPr>
          <w:rFonts w:hint="eastAsia" w:ascii="宋体" w:hAnsi="宋体"/>
          <w:color w:val="000000"/>
          <w:spacing w:val="-6"/>
          <w:kern w:val="2"/>
          <w:sz w:val="32"/>
        </w:rPr>
        <w:t xml:space="preserve">  </w:t>
      </w:r>
      <w:r>
        <w:rPr>
          <w:rFonts w:hint="eastAsia" w:ascii="仿宋_GB2312" w:hAnsi="仿宋_GB2312" w:eastAsia="仿宋_GB2312" w:cs="仿宋_GB2312"/>
          <w:color w:val="333333"/>
          <w:spacing w:val="0"/>
          <w:kern w:val="0"/>
          <w:sz w:val="32"/>
          <w:szCs w:val="32"/>
          <w:shd w:val="clear" w:color="auto" w:fill="FFFFFF"/>
          <w:lang w:bidi="ar"/>
        </w:rPr>
        <w:t>市和区、县（市）人民政府应当定期组织开展古树名木和古树后续资源保护专项评估，区、县（市）的保护专项评估结果应当报送市人民政府备案。</w:t>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olor w:val="000000"/>
          <w:spacing w:val="-6"/>
          <w:kern w:val="2"/>
          <w:sz w:val="32"/>
        </w:rPr>
      </w:pPr>
      <w:r>
        <w:rPr>
          <w:rFonts w:hint="eastAsia" w:ascii="仿宋_GB2312" w:hAnsi="仿宋_GB2312" w:eastAsia="仿宋_GB2312" w:cs="仿宋_GB2312"/>
          <w:color w:val="333333"/>
          <w:spacing w:val="0"/>
          <w:kern w:val="0"/>
          <w:sz w:val="32"/>
          <w:szCs w:val="32"/>
          <w:shd w:val="clear" w:color="auto" w:fill="FFFFFF"/>
          <w:lang w:bidi="ar"/>
        </w:rPr>
        <w:t>市人民政府对古树名木和古树后续资源保护工作不力、问题突出、群众反映集中的区、县（市）人民政府及其有关部门主要负责人，可以按照有关规定予以通报、约谈，督促其整改。</w:t>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b w:val="0"/>
          <w:color w:val="000000"/>
          <w:spacing w:val="0"/>
          <w:kern w:val="0"/>
          <w:sz w:val="32"/>
          <w:szCs w:val="32"/>
          <w:lang w:bidi="ar"/>
        </w:rPr>
        <w:t>第二十七条</w:t>
      </w:r>
      <w:r>
        <w:rPr>
          <w:rFonts w:hint="eastAsia" w:ascii="宋体" w:hAnsi="宋体"/>
          <w:b/>
          <w:color w:val="000000"/>
          <w:spacing w:val="-6"/>
          <w:kern w:val="2"/>
          <w:sz w:val="32"/>
        </w:rPr>
        <w:t xml:space="preserve">  </w:t>
      </w:r>
      <w:r>
        <w:rPr>
          <w:rFonts w:hint="eastAsia" w:ascii="仿宋_GB2312" w:hAnsi="仿宋_GB2312" w:eastAsia="仿宋_GB2312" w:cs="仿宋_GB2312"/>
          <w:color w:val="333333"/>
          <w:spacing w:val="0"/>
          <w:kern w:val="0"/>
          <w:sz w:val="32"/>
          <w:szCs w:val="32"/>
          <w:shd w:val="clear" w:color="auto" w:fill="FFFFFF"/>
          <w:lang w:bidi="ar"/>
        </w:rPr>
        <w:t>违反本办法规定的行为，法律、法规、规章已有法律责任规定的，从其规定。</w:t>
      </w:r>
    </w:p>
    <w:p>
      <w:pPr>
        <w:keepNext w:val="0"/>
        <w:keepLines w:val="0"/>
        <w:pageBreakBefore w:val="0"/>
        <w:widowControl/>
        <w:shd w:val="clear"/>
        <w:kinsoku/>
        <w:wordWrap/>
        <w:overflowPunct/>
        <w:topLinePunct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仿宋_GB2312" w:hAnsi="仿宋_GB2312" w:eastAsia="仿宋_GB2312" w:cs="仿宋_GB2312"/>
          <w:color w:val="333333"/>
          <w:spacing w:val="0"/>
          <w:kern w:val="0"/>
          <w:sz w:val="32"/>
          <w:szCs w:val="32"/>
          <w:shd w:val="clear" w:color="auto" w:fill="FFFFFF"/>
          <w:lang w:bidi="ar"/>
        </w:rPr>
        <w:t>违反本办法规定的行为，已经依法纳入综合行政执法事项目录管理的，由综合行政执法部门或者乡镇人民政府、街道办事处行使相应的行政处罚权。</w:t>
      </w:r>
    </w:p>
    <w:p>
      <w:pPr>
        <w:pStyle w:val="4"/>
        <w:keepNext w:val="0"/>
        <w:keepLines w:val="0"/>
        <w:pageBreakBefore w:val="0"/>
        <w:widowControl w:val="0"/>
        <w:kinsoku/>
        <w:wordWrap/>
        <w:overflowPunct/>
        <w:topLinePunct w:val="0"/>
        <w:autoSpaceDE/>
        <w:autoSpaceDN/>
        <w:adjustRightInd/>
        <w:snapToGrid w:val="0"/>
        <w:spacing w:line="336" w:lineRule="auto"/>
        <w:ind w:left="0" w:leftChars="0" w:right="0" w:rightChars="0" w:firstLineChars="200"/>
        <w:jc w:val="both"/>
        <w:textAlignment w:val="auto"/>
        <w:outlineLvl w:val="9"/>
        <w:rPr>
          <w:rFonts w:hint="eastAsia" w:ascii="仿宋_GB2312" w:hAnsi="仿宋_GB2312" w:eastAsia="仿宋_GB2312" w:cs="仿宋_GB2312"/>
          <w:color w:val="333333"/>
          <w:spacing w:val="0"/>
          <w:kern w:val="0"/>
          <w:sz w:val="32"/>
          <w:szCs w:val="32"/>
          <w:shd w:val="clear" w:color="auto" w:fill="FFFFFF"/>
          <w:lang w:bidi="ar"/>
        </w:rPr>
      </w:pPr>
      <w:r>
        <w:rPr>
          <w:rFonts w:hint="eastAsia" w:ascii="黑体" w:hAnsi="宋体" w:eastAsia="黑体" w:cs="黑体"/>
          <w:b w:val="0"/>
          <w:color w:val="000000"/>
          <w:spacing w:val="0"/>
          <w:kern w:val="0"/>
          <w:sz w:val="32"/>
          <w:szCs w:val="32"/>
          <w:lang w:bidi="ar"/>
        </w:rPr>
        <w:t>第二十八条</w:t>
      </w:r>
      <w:r>
        <w:rPr>
          <w:rFonts w:hint="eastAsia" w:ascii="宋体" w:hAnsi="宋体"/>
          <w:b/>
          <w:color w:val="000000"/>
          <w:spacing w:val="-6"/>
          <w:kern w:val="2"/>
          <w:sz w:val="32"/>
        </w:rPr>
        <w:t xml:space="preserve">  </w:t>
      </w:r>
      <w:r>
        <w:rPr>
          <w:rFonts w:hint="eastAsia" w:ascii="仿宋_GB2312" w:hAnsi="仿宋_GB2312" w:eastAsia="仿宋_GB2312" w:cs="仿宋_GB2312"/>
          <w:color w:val="333333"/>
          <w:spacing w:val="0"/>
          <w:kern w:val="0"/>
          <w:sz w:val="32"/>
          <w:szCs w:val="32"/>
          <w:shd w:val="clear" w:color="auto" w:fill="FFFFFF"/>
          <w:lang w:bidi="ar"/>
        </w:rPr>
        <w:t>违反本办法第十条第三款规定，损毁或者擅自移动古树名木和古树后续资源保护标志、保护设施的，由区、县（市）古树名木行政主管部门责令改正，可以处500元以上5000元以下的罚款。</w:t>
      </w:r>
    </w:p>
    <w:p>
      <w:pPr>
        <w:pStyle w:val="4"/>
        <w:widowControl w:val="0"/>
        <w:snapToGrid w:val="0"/>
        <w:spacing w:line="336" w:lineRule="auto"/>
        <w:ind w:firstLineChars="200"/>
        <w:jc w:val="both"/>
        <w:outlineLvl w:val="9"/>
        <w:rPr>
          <w:rFonts w:hint="default" w:ascii="仿宋_GB2312" w:hAnsi="仿宋_GB2312" w:eastAsia="仿宋_GB2312" w:cs="仿宋_GB2312"/>
          <w:color w:val="333333"/>
          <w:kern w:val="0"/>
          <w:sz w:val="32"/>
          <w:szCs w:val="32"/>
          <w:shd w:val="clear" w:color="auto" w:fill="FFFFFF"/>
          <w:lang w:val="en-US" w:eastAsia="zh-CN" w:bidi="ar"/>
        </w:rPr>
      </w:pPr>
      <w:r>
        <w:rPr>
          <w:rFonts w:hint="eastAsia" w:ascii="黑体" w:hAnsi="宋体" w:eastAsia="黑体" w:cs="黑体"/>
          <w:b w:val="0"/>
          <w:color w:val="000000"/>
          <w:spacing w:val="0"/>
          <w:kern w:val="0"/>
          <w:sz w:val="32"/>
          <w:szCs w:val="32"/>
          <w:lang w:bidi="ar"/>
        </w:rPr>
        <w:t>第二十九条</w:t>
      </w:r>
      <w:r>
        <w:rPr>
          <w:rFonts w:hint="eastAsia" w:ascii="黑体" w:hAnsi="宋体" w:eastAsia="黑体" w:cs="黑体"/>
          <w:color w:val="000000"/>
          <w:spacing w:val="0"/>
          <w:kern w:val="0"/>
          <w:sz w:val="32"/>
          <w:szCs w:val="32"/>
          <w:lang w:bidi="ar"/>
        </w:rPr>
        <w:t xml:space="preserve"> </w:t>
      </w:r>
      <w:r>
        <w:rPr>
          <w:rFonts w:hint="eastAsia" w:ascii="宋体" w:hAnsi="宋体"/>
          <w:color w:val="000000"/>
          <w:spacing w:val="-6"/>
          <w:kern w:val="2"/>
          <w:sz w:val="32"/>
        </w:rPr>
        <w:t xml:space="preserve"> </w:t>
      </w:r>
      <w:r>
        <w:rPr>
          <w:rFonts w:hint="eastAsia" w:ascii="仿宋_GB2312" w:hAnsi="仿宋_GB2312" w:eastAsia="仿宋_GB2312" w:cs="仿宋_GB2312"/>
          <w:color w:val="333333"/>
          <w:spacing w:val="0"/>
          <w:kern w:val="0"/>
          <w:sz w:val="32"/>
          <w:szCs w:val="32"/>
          <w:shd w:val="clear" w:color="auto" w:fill="FFFFFF"/>
          <w:lang w:bidi="ar"/>
        </w:rPr>
        <w:t>本办法自2024年2月1日起施行。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8"/>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 xml:space="preserve">X杭州 </w:t>
    </w:r>
    <w:r>
      <w:rPr>
        <w:rFonts w:hint="eastAsia" w:ascii="宋体" w:hAnsi="宋体" w:eastAsia="宋体" w:cs="宋体"/>
        <w:b/>
        <w:bCs/>
        <w:color w:val="005192"/>
        <w:sz w:val="28"/>
        <w:szCs w:val="44"/>
      </w:rPr>
      <w:t xml:space="preserve">杭州市人民政府发布       </w:t>
    </w:r>
  </w:p>
  <w:p>
    <w:pPr>
      <w:pStyle w:val="8"/>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杭州市人民政府规章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zMWRhYzkzODI4M2E0NmQyYzgwMjZkMzM4OTBkZWYifQ=="/>
  </w:docVars>
  <w:rsids>
    <w:rsidRoot w:val="00172A27"/>
    <w:rsid w:val="00172A27"/>
    <w:rsid w:val="0030533E"/>
    <w:rsid w:val="007F2F5C"/>
    <w:rsid w:val="00FD37A7"/>
    <w:rsid w:val="019E71BD"/>
    <w:rsid w:val="04B679C3"/>
    <w:rsid w:val="05BB3420"/>
    <w:rsid w:val="080F63D8"/>
    <w:rsid w:val="09341458"/>
    <w:rsid w:val="0B0912D7"/>
    <w:rsid w:val="0B177790"/>
    <w:rsid w:val="152D2DCA"/>
    <w:rsid w:val="16553CAE"/>
    <w:rsid w:val="16C602D7"/>
    <w:rsid w:val="1A8B1B47"/>
    <w:rsid w:val="1BA07D6D"/>
    <w:rsid w:val="1CFA0437"/>
    <w:rsid w:val="1DEC284C"/>
    <w:rsid w:val="1DF2075B"/>
    <w:rsid w:val="1E6523AC"/>
    <w:rsid w:val="22440422"/>
    <w:rsid w:val="264D6FBB"/>
    <w:rsid w:val="28542392"/>
    <w:rsid w:val="31A15F24"/>
    <w:rsid w:val="36AF0627"/>
    <w:rsid w:val="395347B5"/>
    <w:rsid w:val="39A232A0"/>
    <w:rsid w:val="39C0103B"/>
    <w:rsid w:val="39E745AA"/>
    <w:rsid w:val="3B5A6BBB"/>
    <w:rsid w:val="3EDA13A6"/>
    <w:rsid w:val="404172C4"/>
    <w:rsid w:val="42F058B7"/>
    <w:rsid w:val="436109F6"/>
    <w:rsid w:val="441A38D4"/>
    <w:rsid w:val="454F2639"/>
    <w:rsid w:val="48AA1EA6"/>
    <w:rsid w:val="4BC77339"/>
    <w:rsid w:val="4C172EDE"/>
    <w:rsid w:val="4C9170DB"/>
    <w:rsid w:val="4C9236C5"/>
    <w:rsid w:val="4C9F3BAA"/>
    <w:rsid w:val="4E713E1D"/>
    <w:rsid w:val="505C172E"/>
    <w:rsid w:val="52F46F0B"/>
    <w:rsid w:val="53D8014D"/>
    <w:rsid w:val="54AB6860"/>
    <w:rsid w:val="55E064E0"/>
    <w:rsid w:val="572C6D10"/>
    <w:rsid w:val="573B26B8"/>
    <w:rsid w:val="58153507"/>
    <w:rsid w:val="5DC34279"/>
    <w:rsid w:val="5EC14331"/>
    <w:rsid w:val="608816D1"/>
    <w:rsid w:val="60EF4E7F"/>
    <w:rsid w:val="665233C1"/>
    <w:rsid w:val="67DA4F8C"/>
    <w:rsid w:val="6AD9688B"/>
    <w:rsid w:val="6D0E3F22"/>
    <w:rsid w:val="6EAC28CB"/>
    <w:rsid w:val="71873270"/>
    <w:rsid w:val="731650C5"/>
    <w:rsid w:val="761A4AE3"/>
    <w:rsid w:val="773505A6"/>
    <w:rsid w:val="7B4010DE"/>
    <w:rsid w:val="7C9011D9"/>
    <w:rsid w:val="7DAA71CA"/>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autoRedefine/>
    <w:unhideWhenUsed/>
    <w:qFormat/>
    <w:uiPriority w:val="1"/>
  </w:style>
  <w:style w:type="table" w:default="1" w:styleId="10">
    <w:name w:val="Normal Table"/>
    <w:autoRedefine/>
    <w:unhideWhenUsed/>
    <w:qFormat/>
    <w:uiPriority w:val="99"/>
    <w:tblPr>
      <w:tblCellMar>
        <w:top w:w="0" w:type="dxa"/>
        <w:left w:w="108" w:type="dxa"/>
        <w:bottom w:w="0" w:type="dxa"/>
        <w:right w:w="108" w:type="dxa"/>
      </w:tblCellMar>
    </w:tblPr>
  </w:style>
  <w:style w:type="paragraph" w:styleId="2">
    <w:name w:val="endnote text"/>
    <w:basedOn w:val="1"/>
    <w:unhideWhenUsed/>
    <w:qFormat/>
    <w:uiPriority w:val="99"/>
    <w:pPr>
      <w:snapToGrid w:val="0"/>
      <w:spacing w:line="240" w:lineRule="auto"/>
    </w:pPr>
    <w:rPr>
      <w:rFonts w:ascii="Calibri" w:hAnsi="Calibri" w:eastAsia="宋体"/>
      <w:spacing w:val="0"/>
      <w:sz w:val="21"/>
    </w:rPr>
  </w:style>
  <w:style w:type="paragraph" w:styleId="3">
    <w:name w:val="annotation text"/>
    <w:basedOn w:val="1"/>
    <w:autoRedefine/>
    <w:qFormat/>
    <w:uiPriority w:val="0"/>
    <w:pPr>
      <w:jc w:val="left"/>
    </w:pPr>
  </w:style>
  <w:style w:type="paragraph" w:styleId="4">
    <w:name w:val="Body Text"/>
    <w:basedOn w:val="1"/>
    <w:next w:val="5"/>
    <w:qFormat/>
    <w:uiPriority w:val="0"/>
    <w:pPr>
      <w:spacing w:line="240" w:lineRule="auto"/>
    </w:pPr>
    <w:rPr>
      <w:rFonts w:ascii="Calibri" w:hAnsi="Calibri" w:eastAsia="宋体"/>
      <w:spacing w:val="0"/>
      <w:sz w:val="21"/>
    </w:rPr>
  </w:style>
  <w:style w:type="paragraph" w:styleId="5">
    <w:name w:val="Body Text First Indent"/>
    <w:basedOn w:val="4"/>
    <w:next w:val="1"/>
    <w:qFormat/>
    <w:uiPriority w:val="0"/>
    <w:pPr>
      <w:widowControl w:val="0"/>
      <w:autoSpaceDE/>
      <w:autoSpaceDN/>
      <w:ind w:firstLineChars="100"/>
      <w:jc w:val="both"/>
    </w:pPr>
    <w:rPr>
      <w:rFonts w:ascii="Times New Roman" w:hAnsi="Times New Roman" w:eastAsia="宋体"/>
      <w:kern w:val="2"/>
    </w:rPr>
  </w:style>
  <w:style w:type="paragraph" w:styleId="6">
    <w:name w:val="Balloon Text"/>
    <w:basedOn w:val="1"/>
    <w:link w:val="13"/>
    <w:autoRedefine/>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2">
    <w:name w:val="page number"/>
    <w:qFormat/>
    <w:uiPriority w:val="0"/>
  </w:style>
  <w:style w:type="character" w:customStyle="1" w:styleId="13">
    <w:name w:val="批注框文本 Char"/>
    <w:basedOn w:val="11"/>
    <w:link w:val="6"/>
    <w:qFormat/>
    <w:uiPriority w:val="0"/>
    <w:rPr>
      <w:rFonts w:asciiTheme="minorHAnsi" w:hAnsiTheme="minorHAnsi" w:eastAsiaTheme="minorEastAsia" w:cstheme="minorBidi"/>
      <w:kern w:val="2"/>
      <w:sz w:val="18"/>
      <w:szCs w:val="18"/>
    </w:rPr>
  </w:style>
  <w:style w:type="character" w:customStyle="1" w:styleId="14">
    <w:name w:val="fulltext-wrap_navtiao"/>
    <w:uiPriority w:val="0"/>
    <w:rPr>
      <w:rFonts w:ascii="Times New Roman" w:hAnsi="Times New Roman" w:eastAsia="宋体"/>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4101</Words>
  <Characters>4118</Characters>
  <Lines>98</Lines>
  <Paragraphs>27</Paragraphs>
  <TotalTime>16</TotalTime>
  <ScaleCrop>false</ScaleCrop>
  <LinksUpToDate>false</LinksUpToDate>
  <CharactersWithSpaces>4160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黄小灿</cp:lastModifiedBy>
  <cp:lastPrinted>2021-10-26T03:30:00Z</cp:lastPrinted>
  <dcterms:modified xsi:type="dcterms:W3CDTF">2023-12-11T06:52:56Z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ADEB5850461646FC8DBE03455C6B0340_13</vt:lpwstr>
  </property>
</Properties>
</file>