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仿宋_GB2312" w:eastAsia="仿宋_GB2312"/>
          <w:b/>
          <w:bCs/>
          <w:sz w:val="30"/>
          <w:szCs w:val="30"/>
          <w:highlight w:val="yellow"/>
        </w:rPr>
      </w:pPr>
      <w:bookmarkStart w:id="0" w:name="_Hlk29734294"/>
      <w:bookmarkEnd w:id="0"/>
      <w:r>
        <w:rPr>
          <w:rFonts w:hint="eastAsia" w:ascii="仿宋_GB2312" w:eastAsia="仿宋_GB2312"/>
          <w:b/>
          <w:bCs/>
          <w:sz w:val="30"/>
          <w:szCs w:val="30"/>
        </w:rPr>
        <w:t>沪杭甬高速公路杭州市区段改建工程（机场轨道快线合建段）第TJ01标段：</w:t>
      </w:r>
    </w:p>
    <w:p>
      <w:pPr>
        <w:pStyle w:val="2"/>
        <w:ind w:firstLine="0" w:firstLineChars="0"/>
        <w:rPr>
          <w:rFonts w:ascii="仿宋_GB2312" w:eastAsia="仿宋_GB2312"/>
          <w:b/>
          <w:bCs/>
          <w:sz w:val="30"/>
          <w:szCs w:val="30"/>
        </w:rPr>
      </w:pPr>
      <w:r>
        <w:rPr>
          <w:rFonts w:hint="eastAsia" w:ascii="仿宋_GB2312" w:eastAsia="仿宋_GB2312"/>
          <w:b/>
          <w:bCs/>
          <w:sz w:val="30"/>
          <w:szCs w:val="30"/>
        </w:rPr>
        <w:t>1、施工五方责任主体信息</w:t>
      </w:r>
    </w:p>
    <w:p>
      <w:pPr>
        <w:pStyle w:val="2"/>
        <w:ind w:firstLine="0" w:firstLineChars="0"/>
        <w:rPr>
          <w:rFonts w:ascii="仿宋_GB2312" w:eastAsia="仿宋_GB2312"/>
          <w:bCs/>
          <w:sz w:val="28"/>
          <w:szCs w:val="28"/>
        </w:rPr>
      </w:pPr>
      <w:r>
        <w:rPr>
          <w:rFonts w:hint="eastAsia" w:ascii="仿宋_GB2312" w:eastAsia="仿宋_GB2312"/>
          <w:b/>
          <w:bCs/>
          <w:sz w:val="30"/>
          <w:szCs w:val="30"/>
        </w:rPr>
        <w:t>建设单位：</w:t>
      </w:r>
      <w:r>
        <w:rPr>
          <w:rFonts w:hint="eastAsia" w:ascii="仿宋_GB2312" w:eastAsia="仿宋_GB2312"/>
          <w:bCs/>
          <w:sz w:val="28"/>
          <w:szCs w:val="28"/>
        </w:rPr>
        <w:t>杭州市公路管理局    项目负责人：王伟</w:t>
      </w:r>
    </w:p>
    <w:p>
      <w:pPr>
        <w:pStyle w:val="2"/>
        <w:ind w:firstLine="0" w:firstLineChars="0"/>
        <w:rPr>
          <w:rFonts w:ascii="仿宋_GB2312" w:eastAsia="仿宋_GB2312"/>
          <w:bCs/>
          <w:sz w:val="28"/>
          <w:szCs w:val="28"/>
        </w:rPr>
      </w:pPr>
      <w:r>
        <w:rPr>
          <w:rFonts w:hint="eastAsia" w:ascii="仿宋_GB2312" w:eastAsia="仿宋_GB2312"/>
          <w:b/>
          <w:bCs/>
          <w:sz w:val="30"/>
          <w:szCs w:val="30"/>
        </w:rPr>
        <w:t>勘察单位：</w:t>
      </w:r>
      <w:r>
        <w:rPr>
          <w:rFonts w:hint="eastAsia" w:ascii="仿宋_GB2312" w:eastAsia="仿宋_GB2312"/>
          <w:bCs/>
          <w:sz w:val="28"/>
          <w:szCs w:val="28"/>
        </w:rPr>
        <w:t>杭州市交通规划设计研究院    项目负责人：周翔</w:t>
      </w:r>
    </w:p>
    <w:p>
      <w:pPr>
        <w:pStyle w:val="2"/>
        <w:ind w:firstLine="0" w:firstLineChars="0"/>
        <w:rPr>
          <w:rFonts w:hint="default" w:ascii="仿宋_GB2312" w:eastAsia="仿宋_GB2312"/>
          <w:bCs/>
          <w:sz w:val="28"/>
          <w:szCs w:val="28"/>
          <w:lang w:val="en-US"/>
        </w:rPr>
      </w:pPr>
      <w:r>
        <w:rPr>
          <w:rFonts w:hint="eastAsia" w:ascii="仿宋_GB2312" w:eastAsia="仿宋_GB2312"/>
          <w:b/>
          <w:bCs/>
          <w:sz w:val="30"/>
          <w:szCs w:val="30"/>
        </w:rPr>
        <w:t>设计单位：</w:t>
      </w:r>
      <w:r>
        <w:rPr>
          <w:rFonts w:hint="eastAsia" w:ascii="仿宋_GB2312" w:eastAsia="仿宋_GB2312"/>
          <w:bCs/>
          <w:sz w:val="28"/>
          <w:szCs w:val="28"/>
        </w:rPr>
        <w:t>杭州市交通规划设计研究院与中铁大桥勘测设计院集团有限公司联合体    项目负责人：</w:t>
      </w:r>
      <w:r>
        <w:rPr>
          <w:rFonts w:hint="eastAsia" w:ascii="仿宋_GB2312" w:eastAsia="仿宋_GB2312"/>
          <w:bCs/>
          <w:sz w:val="30"/>
          <w:szCs w:val="30"/>
          <w:lang w:val="en-US" w:eastAsia="zh-CN"/>
        </w:rPr>
        <w:t>朱勇骏</w:t>
      </w:r>
    </w:p>
    <w:p>
      <w:pPr>
        <w:rPr>
          <w:rFonts w:ascii="仿宋_GB2312" w:eastAsia="仿宋_GB2312"/>
          <w:bCs/>
          <w:sz w:val="28"/>
          <w:szCs w:val="28"/>
        </w:rPr>
      </w:pPr>
      <w:r>
        <w:rPr>
          <w:rFonts w:hint="eastAsia" w:ascii="仿宋_GB2312" w:eastAsia="仿宋_GB2312"/>
          <w:b/>
          <w:bCs/>
          <w:sz w:val="30"/>
          <w:szCs w:val="30"/>
        </w:rPr>
        <w:t>施工单位：</w:t>
      </w:r>
      <w:r>
        <w:rPr>
          <w:rFonts w:hint="eastAsia" w:ascii="仿宋_GB2312" w:eastAsia="仿宋_GB2312"/>
          <w:bCs/>
          <w:sz w:val="28"/>
          <w:szCs w:val="28"/>
        </w:rPr>
        <w:t>浙江交工集团股份有限公司与中铁大</w:t>
      </w:r>
      <w:bookmarkStart w:id="1" w:name="_GoBack"/>
      <w:bookmarkEnd w:id="1"/>
      <w:r>
        <w:rPr>
          <w:rFonts w:hint="eastAsia" w:ascii="仿宋_GB2312" w:eastAsia="仿宋_GB2312"/>
          <w:bCs/>
          <w:sz w:val="28"/>
          <w:szCs w:val="28"/>
        </w:rPr>
        <w:t>桥局集团有限公司联合体    项目经理：叶以挺</w:t>
      </w:r>
    </w:p>
    <w:p>
      <w:pPr>
        <w:pStyle w:val="2"/>
        <w:ind w:firstLine="0" w:firstLineChars="0"/>
        <w:rPr>
          <w:rFonts w:ascii="仿宋_GB2312" w:eastAsia="仿宋_GB2312"/>
          <w:bCs/>
          <w:sz w:val="28"/>
          <w:szCs w:val="28"/>
        </w:rPr>
      </w:pPr>
      <w:r>
        <w:rPr>
          <w:rFonts w:hint="eastAsia" w:ascii="仿宋_GB2312" w:eastAsia="仿宋_GB2312"/>
          <w:b/>
          <w:bCs/>
          <w:sz w:val="30"/>
          <w:szCs w:val="30"/>
        </w:rPr>
        <w:t>监理单位：</w:t>
      </w:r>
      <w:r>
        <w:rPr>
          <w:rFonts w:hint="eastAsia" w:ascii="仿宋_GB2312" w:eastAsia="仿宋_GB2312"/>
          <w:bCs/>
          <w:sz w:val="28"/>
          <w:szCs w:val="28"/>
        </w:rPr>
        <w:t>杭州市交通工程监理咨询有限公司与上海同济市政公路工程监理有限公司联合体    总监理工程师：吴世军</w:t>
      </w:r>
    </w:p>
    <w:p>
      <w:pPr>
        <w:pStyle w:val="2"/>
        <w:ind w:firstLine="0" w:firstLineChars="0"/>
        <w:rPr>
          <w:rFonts w:ascii="仿宋_GB2312" w:eastAsia="仿宋_GB2312"/>
          <w:bCs/>
          <w:sz w:val="30"/>
          <w:szCs w:val="30"/>
        </w:rPr>
      </w:pPr>
    </w:p>
    <w:p>
      <w:pPr>
        <w:pStyle w:val="2"/>
        <w:ind w:firstLine="0" w:firstLineChars="0"/>
        <w:rPr>
          <w:rFonts w:ascii="仿宋_GB2312" w:eastAsia="仿宋_GB2312"/>
          <w:b/>
          <w:bCs/>
          <w:sz w:val="30"/>
          <w:szCs w:val="30"/>
        </w:rPr>
      </w:pPr>
      <w:r>
        <w:rPr>
          <w:rFonts w:hint="eastAsia" w:ascii="仿宋_GB2312" w:eastAsia="仿宋_GB2312"/>
          <w:b/>
          <w:bCs/>
          <w:sz w:val="30"/>
          <w:szCs w:val="30"/>
        </w:rPr>
        <w:t>2、管理机构设置</w:t>
      </w:r>
    </w:p>
    <w:p>
      <w:pPr>
        <w:pStyle w:val="2"/>
        <w:ind w:firstLine="0" w:firstLineChars="0"/>
        <w:rPr>
          <w:rFonts w:ascii="仿宋_GB2312" w:eastAsia="仿宋_GB2312"/>
          <w:b/>
          <w:bCs/>
          <w:sz w:val="30"/>
          <w:szCs w:val="30"/>
        </w:rPr>
      </w:pPr>
      <w:r>
        <w:rPr>
          <w:rFonts w:hint="eastAsia" w:ascii="仿宋_GB2312" w:eastAsia="仿宋_GB2312"/>
          <w:b/>
          <w:bCs/>
          <w:sz w:val="30"/>
          <w:szCs w:val="30"/>
        </w:rPr>
        <w:drawing>
          <wp:inline distT="0" distB="0" distL="114300" distR="114300">
            <wp:extent cx="4648200" cy="4340860"/>
            <wp:effectExtent l="19050" t="0" r="0" b="0"/>
            <wp:docPr id="2" name="图片 1" descr="组织机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组织机构图"/>
                    <pic:cNvPicPr>
                      <a:picLocks noChangeAspect="1"/>
                    </pic:cNvPicPr>
                  </pic:nvPicPr>
                  <pic:blipFill>
                    <a:blip r:embed="rId4"/>
                    <a:stretch>
                      <a:fillRect/>
                    </a:stretch>
                  </pic:blipFill>
                  <pic:spPr>
                    <a:xfrm>
                      <a:off x="0" y="0"/>
                      <a:ext cx="4648200" cy="4340895"/>
                    </a:xfrm>
                    <a:prstGeom prst="rect">
                      <a:avLst/>
                    </a:prstGeom>
                  </pic:spPr>
                </pic:pic>
              </a:graphicData>
            </a:graphic>
          </wp:inline>
        </w:drawing>
      </w:r>
    </w:p>
    <w:p>
      <w:pPr>
        <w:pStyle w:val="2"/>
        <w:ind w:firstLine="0" w:firstLineChars="0"/>
        <w:rPr>
          <w:b/>
          <w:bCs/>
        </w:rPr>
      </w:pPr>
      <w:r>
        <w:rPr>
          <w:rFonts w:hint="eastAsia" w:ascii="仿宋_GB2312" w:eastAsia="仿宋_GB2312"/>
          <w:b/>
          <w:bCs/>
          <w:sz w:val="30"/>
          <w:szCs w:val="30"/>
        </w:rPr>
        <w:t>3、主要管理制度</w:t>
      </w:r>
    </w:p>
    <w:p>
      <w:pPr>
        <w:pStyle w:val="2"/>
        <w:ind w:firstLine="0" w:firstLineChars="0"/>
        <w:rPr>
          <w:rFonts w:ascii="仿宋_GB2312" w:eastAsia="仿宋_GB2312"/>
          <w:bCs/>
          <w:sz w:val="30"/>
          <w:szCs w:val="30"/>
        </w:rPr>
      </w:pPr>
      <w:r>
        <w:rPr>
          <w:rFonts w:hint="eastAsia" w:ascii="仿宋_GB2312" w:eastAsia="仿宋_GB2312"/>
          <w:bCs/>
          <w:sz w:val="30"/>
          <w:szCs w:val="30"/>
        </w:rPr>
        <w:t>《质量管理制度》、《</w:t>
      </w:r>
      <w:r>
        <w:rPr>
          <w:rFonts w:ascii="仿宋_GB2312" w:eastAsia="仿宋_GB2312"/>
          <w:bCs/>
          <w:sz w:val="30"/>
          <w:szCs w:val="30"/>
        </w:rPr>
        <w:t>安全生产责任制</w:t>
      </w:r>
      <w:r>
        <w:rPr>
          <w:rFonts w:hint="eastAsia" w:ascii="仿宋_GB2312" w:eastAsia="仿宋_GB2312"/>
          <w:bCs/>
          <w:sz w:val="30"/>
          <w:szCs w:val="30"/>
        </w:rPr>
        <w:t>》、《</w:t>
      </w:r>
      <w:r>
        <w:rPr>
          <w:rFonts w:ascii="仿宋_GB2312" w:eastAsia="仿宋_GB2312"/>
          <w:bCs/>
          <w:sz w:val="30"/>
          <w:szCs w:val="30"/>
        </w:rPr>
        <w:t>安全生产奖惩</w:t>
      </w:r>
      <w:r>
        <w:rPr>
          <w:rFonts w:hint="eastAsia" w:ascii="仿宋_GB2312" w:eastAsia="仿宋_GB2312"/>
          <w:bCs/>
          <w:sz w:val="30"/>
          <w:szCs w:val="30"/>
        </w:rPr>
        <w:t>制度》、《</w:t>
      </w:r>
      <w:r>
        <w:rPr>
          <w:rFonts w:ascii="仿宋_GB2312" w:eastAsia="仿宋_GB2312"/>
          <w:bCs/>
          <w:sz w:val="30"/>
          <w:szCs w:val="30"/>
        </w:rPr>
        <w:t>领导带班</w:t>
      </w:r>
      <w:r>
        <w:rPr>
          <w:rFonts w:hint="eastAsia" w:ascii="仿宋_GB2312" w:eastAsia="仿宋_GB2312"/>
          <w:bCs/>
          <w:sz w:val="30"/>
          <w:szCs w:val="30"/>
        </w:rPr>
        <w:t>制度》、《质量计划》等。</w:t>
      </w:r>
    </w:p>
    <w:p>
      <w:pPr>
        <w:pStyle w:val="2"/>
        <w:ind w:firstLine="0" w:firstLineChars="0"/>
        <w:rPr>
          <w:rFonts w:ascii="仿宋_GB2312" w:eastAsia="仿宋_GB2312"/>
          <w:b/>
          <w:bCs/>
          <w:sz w:val="30"/>
          <w:szCs w:val="30"/>
        </w:rPr>
      </w:pPr>
      <w:r>
        <w:rPr>
          <w:rFonts w:hint="eastAsia" w:ascii="仿宋_GB2312" w:eastAsia="仿宋_GB2312"/>
          <w:b/>
          <w:bCs/>
          <w:sz w:val="30"/>
          <w:szCs w:val="30"/>
        </w:rPr>
        <w:t>4、施工期环境保护措施落实情况</w:t>
      </w:r>
    </w:p>
    <w:tbl>
      <w:tblPr>
        <w:tblStyle w:val="7"/>
        <w:tblW w:w="8222"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15" w:type="dxa"/>
          <w:left w:w="15" w:type="dxa"/>
          <w:bottom w:w="15" w:type="dxa"/>
          <w:right w:w="15" w:type="dxa"/>
        </w:tblCellMar>
      </w:tblPr>
      <w:tblGrid>
        <w:gridCol w:w="540"/>
        <w:gridCol w:w="926"/>
        <w:gridCol w:w="3378"/>
        <w:gridCol w:w="3378"/>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15" w:type="dxa"/>
            <w:left w:w="15" w:type="dxa"/>
            <w:bottom w:w="15" w:type="dxa"/>
            <w:right w:w="15" w:type="dxa"/>
          </w:tblCellMar>
        </w:tblPrEx>
        <w:trPr>
          <w:trHeight w:val="397" w:hRule="atLeast"/>
          <w:tblHeader/>
          <w:jc w:val="center"/>
        </w:trPr>
        <w:tc>
          <w:tcPr>
            <w:tcW w:w="540" w:type="dxa"/>
            <w:shd w:val="clear" w:color="auto" w:fill="DEEAF6"/>
            <w:vAlign w:val="center"/>
          </w:tcPr>
          <w:p>
            <w:pPr>
              <w:snapToGrid w:val="0"/>
              <w:jc w:val="center"/>
              <w:rPr>
                <w:b/>
                <w:bCs/>
                <w:szCs w:val="21"/>
              </w:rPr>
            </w:pPr>
            <w:r>
              <w:rPr>
                <w:b/>
                <w:bCs/>
                <w:szCs w:val="21"/>
              </w:rPr>
              <w:t>序号</w:t>
            </w:r>
          </w:p>
        </w:tc>
        <w:tc>
          <w:tcPr>
            <w:tcW w:w="926" w:type="dxa"/>
            <w:shd w:val="clear" w:color="auto" w:fill="DEEAF6"/>
            <w:vAlign w:val="center"/>
          </w:tcPr>
          <w:p>
            <w:pPr>
              <w:snapToGrid w:val="0"/>
              <w:jc w:val="center"/>
              <w:rPr>
                <w:b/>
                <w:bCs/>
                <w:szCs w:val="21"/>
              </w:rPr>
            </w:pPr>
            <w:r>
              <w:rPr>
                <w:b/>
                <w:bCs/>
                <w:szCs w:val="21"/>
              </w:rPr>
              <w:t>风险项</w:t>
            </w:r>
          </w:p>
        </w:tc>
        <w:tc>
          <w:tcPr>
            <w:tcW w:w="3378" w:type="dxa"/>
            <w:shd w:val="clear" w:color="auto" w:fill="DEEAF6"/>
            <w:vAlign w:val="center"/>
          </w:tcPr>
          <w:p>
            <w:pPr>
              <w:snapToGrid w:val="0"/>
              <w:jc w:val="center"/>
              <w:rPr>
                <w:b/>
                <w:bCs/>
                <w:szCs w:val="21"/>
              </w:rPr>
            </w:pPr>
            <w:r>
              <w:rPr>
                <w:rFonts w:hint="eastAsia"/>
                <w:b/>
                <w:bCs/>
                <w:szCs w:val="21"/>
              </w:rPr>
              <w:t>主要风险</w:t>
            </w:r>
          </w:p>
        </w:tc>
        <w:tc>
          <w:tcPr>
            <w:tcW w:w="3378" w:type="dxa"/>
            <w:shd w:val="clear" w:color="auto" w:fill="DEEAF6"/>
            <w:vAlign w:val="center"/>
          </w:tcPr>
          <w:p>
            <w:pPr>
              <w:snapToGrid w:val="0"/>
              <w:jc w:val="center"/>
              <w:rPr>
                <w:b/>
                <w:bCs/>
                <w:szCs w:val="21"/>
              </w:rPr>
            </w:pPr>
            <w:r>
              <w:rPr>
                <w:rFonts w:hint="eastAsia"/>
                <w:b/>
                <w:bCs/>
                <w:szCs w:val="21"/>
              </w:rPr>
              <w:t>主要对策</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540" w:type="dxa"/>
            <w:vAlign w:val="center"/>
          </w:tcPr>
          <w:p>
            <w:pPr>
              <w:snapToGrid w:val="0"/>
              <w:jc w:val="center"/>
              <w:rPr>
                <w:bCs/>
                <w:szCs w:val="21"/>
              </w:rPr>
            </w:pPr>
            <w:r>
              <w:rPr>
                <w:bCs/>
                <w:szCs w:val="21"/>
              </w:rPr>
              <w:t>1</w:t>
            </w:r>
          </w:p>
        </w:tc>
        <w:tc>
          <w:tcPr>
            <w:tcW w:w="926" w:type="dxa"/>
            <w:vAlign w:val="center"/>
          </w:tcPr>
          <w:p>
            <w:pPr>
              <w:snapToGrid w:val="0"/>
              <w:jc w:val="center"/>
              <w:rPr>
                <w:bCs/>
                <w:szCs w:val="21"/>
              </w:rPr>
            </w:pPr>
            <w:r>
              <w:rPr>
                <w:rFonts w:hint="eastAsia"/>
                <w:bCs/>
                <w:szCs w:val="21"/>
              </w:rPr>
              <w:t>桩基、承台施工</w:t>
            </w:r>
          </w:p>
        </w:tc>
        <w:tc>
          <w:tcPr>
            <w:tcW w:w="3378" w:type="dxa"/>
            <w:vAlign w:val="center"/>
          </w:tcPr>
          <w:p>
            <w:pPr>
              <w:numPr>
                <w:ilvl w:val="0"/>
                <w:numId w:val="1"/>
              </w:numPr>
              <w:snapToGrid w:val="0"/>
              <w:ind w:left="210" w:hanging="210" w:hangingChars="100"/>
              <w:rPr>
                <w:bCs/>
                <w:szCs w:val="21"/>
              </w:rPr>
            </w:pPr>
            <w:r>
              <w:rPr>
                <w:rFonts w:hint="eastAsia"/>
                <w:bCs/>
                <w:szCs w:val="21"/>
              </w:rPr>
              <w:t>桩基施工产生大量泥浆及钻渣，处理不当容易污染便道；</w:t>
            </w:r>
          </w:p>
          <w:p>
            <w:pPr>
              <w:numPr>
                <w:ilvl w:val="0"/>
                <w:numId w:val="1"/>
              </w:numPr>
              <w:snapToGrid w:val="0"/>
              <w:ind w:left="210" w:hanging="210" w:hangingChars="100"/>
              <w:rPr>
                <w:bCs/>
                <w:szCs w:val="21"/>
              </w:rPr>
            </w:pPr>
            <w:r>
              <w:rPr>
                <w:rFonts w:hint="eastAsia"/>
                <w:bCs/>
                <w:szCs w:val="21"/>
              </w:rPr>
              <w:t>承台挖方量大，运输时可能污染道路。</w:t>
            </w:r>
          </w:p>
        </w:tc>
        <w:tc>
          <w:tcPr>
            <w:tcW w:w="3378" w:type="dxa"/>
          </w:tcPr>
          <w:p>
            <w:pPr>
              <w:numPr>
                <w:ilvl w:val="0"/>
                <w:numId w:val="1"/>
              </w:numPr>
              <w:snapToGrid w:val="0"/>
              <w:ind w:left="210" w:hanging="210" w:hangingChars="100"/>
              <w:rPr>
                <w:bCs/>
                <w:szCs w:val="21"/>
              </w:rPr>
            </w:pPr>
            <w:r>
              <w:rPr>
                <w:rFonts w:hint="eastAsia"/>
                <w:bCs/>
                <w:szCs w:val="21"/>
              </w:rPr>
              <w:t>设置泥浆沉淀池，泥浆循环使用，减少废弃泥浆量；</w:t>
            </w:r>
          </w:p>
          <w:p>
            <w:pPr>
              <w:numPr>
                <w:ilvl w:val="0"/>
                <w:numId w:val="1"/>
              </w:numPr>
              <w:snapToGrid w:val="0"/>
              <w:ind w:left="210" w:hanging="210" w:hangingChars="100"/>
              <w:rPr>
                <w:bCs/>
                <w:szCs w:val="21"/>
              </w:rPr>
            </w:pPr>
            <w:r>
              <w:rPr>
                <w:rFonts w:hint="eastAsia"/>
                <w:bCs/>
                <w:szCs w:val="21"/>
              </w:rPr>
              <w:t>设置钻渣斗，待钻渣静置一定时间后再外运出渣；泥浆和弃土运输时，控制运输量，并且需要将运输车辆车厢覆盖；</w:t>
            </w:r>
          </w:p>
          <w:p>
            <w:pPr>
              <w:numPr>
                <w:ilvl w:val="0"/>
                <w:numId w:val="1"/>
              </w:numPr>
              <w:snapToGrid w:val="0"/>
              <w:ind w:left="210" w:hanging="210" w:hangingChars="100"/>
              <w:rPr>
                <w:bCs/>
                <w:szCs w:val="21"/>
              </w:rPr>
            </w:pPr>
            <w:r>
              <w:rPr>
                <w:rFonts w:hint="eastAsia"/>
                <w:bCs/>
                <w:szCs w:val="21"/>
              </w:rPr>
              <w:t>配置足够的运渣车，确保把废弃泥浆和钻渣运完。</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540" w:type="dxa"/>
            <w:vAlign w:val="center"/>
          </w:tcPr>
          <w:p>
            <w:pPr>
              <w:snapToGrid w:val="0"/>
              <w:jc w:val="center"/>
              <w:rPr>
                <w:bCs/>
                <w:szCs w:val="21"/>
              </w:rPr>
            </w:pPr>
            <w:r>
              <w:rPr>
                <w:bCs/>
                <w:szCs w:val="21"/>
              </w:rPr>
              <w:t>2</w:t>
            </w:r>
          </w:p>
        </w:tc>
        <w:tc>
          <w:tcPr>
            <w:tcW w:w="926" w:type="dxa"/>
            <w:vAlign w:val="center"/>
          </w:tcPr>
          <w:p>
            <w:pPr>
              <w:snapToGrid w:val="0"/>
              <w:jc w:val="center"/>
              <w:rPr>
                <w:bCs/>
                <w:szCs w:val="21"/>
              </w:rPr>
            </w:pPr>
            <w:r>
              <w:rPr>
                <w:rFonts w:hint="eastAsia"/>
                <w:bCs/>
                <w:szCs w:val="21"/>
              </w:rPr>
              <w:t>T梁湿接缝及护栏施工</w:t>
            </w:r>
          </w:p>
        </w:tc>
        <w:tc>
          <w:tcPr>
            <w:tcW w:w="3378" w:type="dxa"/>
            <w:vAlign w:val="center"/>
          </w:tcPr>
          <w:p>
            <w:pPr>
              <w:numPr>
                <w:ilvl w:val="0"/>
                <w:numId w:val="2"/>
              </w:numPr>
              <w:snapToGrid w:val="0"/>
              <w:ind w:left="210" w:hanging="210" w:hangingChars="100"/>
              <w:rPr>
                <w:bCs/>
                <w:szCs w:val="21"/>
              </w:rPr>
            </w:pPr>
            <w:r>
              <w:rPr>
                <w:rFonts w:hint="eastAsia"/>
                <w:bCs/>
                <w:szCs w:val="21"/>
              </w:rPr>
              <w:t>湿接缝施工期间坠落物体影响下方道路行车安全；</w:t>
            </w:r>
          </w:p>
          <w:p>
            <w:pPr>
              <w:numPr>
                <w:ilvl w:val="0"/>
                <w:numId w:val="2"/>
              </w:numPr>
              <w:snapToGrid w:val="0"/>
              <w:ind w:left="210" w:hanging="210" w:hangingChars="100"/>
              <w:rPr>
                <w:bCs/>
                <w:szCs w:val="21"/>
              </w:rPr>
            </w:pPr>
            <w:r>
              <w:rPr>
                <w:rFonts w:hint="eastAsia"/>
                <w:bCs/>
                <w:szCs w:val="21"/>
              </w:rPr>
              <w:t>湿接缝混凝土浇筑时易漏浆，污染下方项目过往施工车辆。</w:t>
            </w:r>
          </w:p>
          <w:p>
            <w:pPr>
              <w:numPr>
                <w:ilvl w:val="0"/>
                <w:numId w:val="2"/>
              </w:numPr>
              <w:snapToGrid w:val="0"/>
              <w:ind w:left="210" w:hanging="210" w:hangingChars="100"/>
              <w:rPr>
                <w:bCs/>
                <w:szCs w:val="21"/>
              </w:rPr>
            </w:pPr>
            <w:r>
              <w:rPr>
                <w:rFonts w:hint="eastAsia"/>
                <w:bCs/>
                <w:szCs w:val="21"/>
              </w:rPr>
              <w:t>护栏混凝土浇筑时易漏浆，可能污染下方保通路面及过往车辆</w:t>
            </w:r>
          </w:p>
        </w:tc>
        <w:tc>
          <w:tcPr>
            <w:tcW w:w="3378" w:type="dxa"/>
            <w:vAlign w:val="center"/>
          </w:tcPr>
          <w:p>
            <w:pPr>
              <w:numPr>
                <w:ilvl w:val="0"/>
                <w:numId w:val="1"/>
              </w:numPr>
              <w:snapToGrid w:val="0"/>
              <w:ind w:left="210" w:hanging="210" w:hangingChars="100"/>
              <w:rPr>
                <w:bCs/>
                <w:szCs w:val="21"/>
              </w:rPr>
            </w:pPr>
            <w:r>
              <w:rPr>
                <w:rFonts w:hint="eastAsia"/>
                <w:bCs/>
                <w:szCs w:val="21"/>
              </w:rPr>
              <w:t>通过设置防护措施保证下方道路行车安全；</w:t>
            </w:r>
          </w:p>
          <w:p>
            <w:pPr>
              <w:numPr>
                <w:ilvl w:val="0"/>
                <w:numId w:val="1"/>
              </w:numPr>
              <w:snapToGrid w:val="0"/>
              <w:ind w:left="210" w:hanging="210" w:hangingChars="100"/>
              <w:rPr>
                <w:bCs/>
                <w:szCs w:val="21"/>
              </w:rPr>
            </w:pPr>
            <w:r>
              <w:rPr>
                <w:rFonts w:hint="eastAsia"/>
                <w:bCs/>
                <w:szCs w:val="21"/>
              </w:rPr>
              <w:t>采取贴止浆条、减小模板拼缝等措施保证湿接缝模板不漏浆。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540" w:type="dxa"/>
            <w:vAlign w:val="center"/>
          </w:tcPr>
          <w:p>
            <w:pPr>
              <w:snapToGrid w:val="0"/>
              <w:jc w:val="center"/>
              <w:rPr>
                <w:bCs/>
                <w:szCs w:val="21"/>
              </w:rPr>
            </w:pPr>
            <w:r>
              <w:rPr>
                <w:rFonts w:hint="eastAsia"/>
                <w:bCs/>
                <w:szCs w:val="21"/>
              </w:rPr>
              <w:t>3</w:t>
            </w:r>
          </w:p>
        </w:tc>
        <w:tc>
          <w:tcPr>
            <w:tcW w:w="926" w:type="dxa"/>
            <w:vAlign w:val="center"/>
          </w:tcPr>
          <w:p>
            <w:pPr>
              <w:snapToGrid w:val="0"/>
              <w:jc w:val="center"/>
              <w:rPr>
                <w:bCs/>
                <w:szCs w:val="21"/>
              </w:rPr>
            </w:pPr>
            <w:r>
              <w:rPr>
                <w:rFonts w:hint="eastAsia"/>
                <w:bCs/>
                <w:szCs w:val="21"/>
              </w:rPr>
              <w:t>噪音</w:t>
            </w:r>
          </w:p>
        </w:tc>
        <w:tc>
          <w:tcPr>
            <w:tcW w:w="3378" w:type="dxa"/>
            <w:vAlign w:val="center"/>
          </w:tcPr>
          <w:p>
            <w:pPr>
              <w:numPr>
                <w:ilvl w:val="0"/>
                <w:numId w:val="2"/>
              </w:numPr>
              <w:snapToGrid w:val="0"/>
              <w:ind w:left="210" w:hanging="210" w:hangingChars="100"/>
              <w:rPr>
                <w:bCs/>
                <w:szCs w:val="21"/>
              </w:rPr>
            </w:pPr>
            <w:r>
              <w:rPr>
                <w:rFonts w:hint="eastAsia"/>
                <w:bCs/>
                <w:szCs w:val="21"/>
              </w:rPr>
              <w:t>钻机、挖机、搅拌站等设备产生的噪音容易遭到附近民众投诉；</w:t>
            </w:r>
          </w:p>
        </w:tc>
        <w:tc>
          <w:tcPr>
            <w:tcW w:w="3378" w:type="dxa"/>
            <w:vAlign w:val="center"/>
          </w:tcPr>
          <w:p>
            <w:pPr>
              <w:numPr>
                <w:ilvl w:val="0"/>
                <w:numId w:val="1"/>
              </w:numPr>
              <w:snapToGrid w:val="0"/>
              <w:ind w:left="210" w:hanging="210" w:hangingChars="100"/>
              <w:rPr>
                <w:bCs/>
                <w:szCs w:val="21"/>
              </w:rPr>
            </w:pPr>
            <w:r>
              <w:rPr>
                <w:rFonts w:hint="eastAsia"/>
                <w:bCs/>
                <w:szCs w:val="21"/>
              </w:rPr>
              <w:t>选择噪音符合规定要求的设备，采取措施减小噪音污染。</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540" w:type="dxa"/>
            <w:vAlign w:val="center"/>
          </w:tcPr>
          <w:p>
            <w:pPr>
              <w:snapToGrid w:val="0"/>
              <w:jc w:val="center"/>
              <w:rPr>
                <w:bCs/>
                <w:szCs w:val="21"/>
              </w:rPr>
            </w:pPr>
            <w:r>
              <w:rPr>
                <w:rFonts w:hint="eastAsia"/>
                <w:bCs/>
                <w:szCs w:val="21"/>
              </w:rPr>
              <w:t>4</w:t>
            </w:r>
          </w:p>
        </w:tc>
        <w:tc>
          <w:tcPr>
            <w:tcW w:w="926" w:type="dxa"/>
            <w:vAlign w:val="center"/>
          </w:tcPr>
          <w:p>
            <w:pPr>
              <w:snapToGrid w:val="0"/>
              <w:jc w:val="center"/>
              <w:rPr>
                <w:bCs/>
                <w:szCs w:val="21"/>
              </w:rPr>
            </w:pPr>
            <w:r>
              <w:rPr>
                <w:rFonts w:hint="eastAsia"/>
                <w:bCs/>
                <w:szCs w:val="21"/>
              </w:rPr>
              <w:t>沿河挡墙、栈桥占用水域</w:t>
            </w:r>
          </w:p>
        </w:tc>
        <w:tc>
          <w:tcPr>
            <w:tcW w:w="3378" w:type="dxa"/>
            <w:vAlign w:val="center"/>
          </w:tcPr>
          <w:p>
            <w:pPr>
              <w:numPr>
                <w:ilvl w:val="0"/>
                <w:numId w:val="2"/>
              </w:numPr>
              <w:snapToGrid w:val="0"/>
              <w:ind w:left="210" w:hanging="210" w:hangingChars="100"/>
              <w:rPr>
                <w:bCs/>
                <w:szCs w:val="21"/>
              </w:rPr>
            </w:pPr>
            <w:r>
              <w:rPr>
                <w:rFonts w:hint="eastAsia"/>
                <w:bCs/>
                <w:szCs w:val="21"/>
              </w:rPr>
              <w:t>搭设临时便桥占用水域，容易污染水源。</w:t>
            </w:r>
          </w:p>
          <w:p>
            <w:pPr>
              <w:numPr>
                <w:ilvl w:val="0"/>
                <w:numId w:val="2"/>
              </w:numPr>
              <w:snapToGrid w:val="0"/>
              <w:ind w:left="210" w:hanging="210" w:hangingChars="100"/>
              <w:rPr>
                <w:bCs/>
                <w:szCs w:val="21"/>
              </w:rPr>
            </w:pPr>
            <w:r>
              <w:rPr>
                <w:rFonts w:hint="eastAsia"/>
                <w:bCs/>
                <w:szCs w:val="21"/>
              </w:rPr>
              <w:t>沿河挡墙基础开挖时，容易污染水源。</w:t>
            </w:r>
          </w:p>
        </w:tc>
        <w:tc>
          <w:tcPr>
            <w:tcW w:w="3378" w:type="dxa"/>
            <w:vAlign w:val="center"/>
          </w:tcPr>
          <w:p>
            <w:pPr>
              <w:numPr>
                <w:ilvl w:val="0"/>
                <w:numId w:val="1"/>
              </w:numPr>
              <w:snapToGrid w:val="0"/>
              <w:ind w:left="210" w:hanging="210" w:hangingChars="100"/>
              <w:rPr>
                <w:bCs/>
                <w:szCs w:val="21"/>
              </w:rPr>
            </w:pPr>
            <w:r>
              <w:rPr>
                <w:rFonts w:hint="eastAsia"/>
                <w:bCs/>
                <w:szCs w:val="21"/>
              </w:rPr>
              <w:t>指定专项措施加强水域保护。</w:t>
            </w:r>
          </w:p>
          <w:p>
            <w:pPr>
              <w:numPr>
                <w:ilvl w:val="0"/>
                <w:numId w:val="1"/>
              </w:numPr>
              <w:snapToGrid w:val="0"/>
              <w:ind w:left="210" w:hanging="210" w:hangingChars="100"/>
              <w:rPr>
                <w:bCs/>
                <w:szCs w:val="21"/>
              </w:rPr>
            </w:pPr>
            <w:r>
              <w:rPr>
                <w:rFonts w:hint="eastAsia"/>
                <w:bCs/>
                <w:szCs w:val="21"/>
              </w:rPr>
              <w:t>沿河挡墙施工时采用钢板桩围堰等方式防止污染水源。</w:t>
            </w:r>
          </w:p>
        </w:tc>
      </w:tr>
    </w:tbl>
    <w:p>
      <w:pPr>
        <w:rPr>
          <w:sz w:val="24"/>
        </w:rPr>
      </w:pPr>
    </w:p>
    <w:p>
      <w:pPr>
        <w:pStyle w:val="2"/>
        <w:ind w:firstLine="0" w:firstLineChars="0"/>
        <w:rPr>
          <w:rFonts w:ascii="仿宋_GB2312" w:eastAsia="仿宋_GB2312"/>
          <w:b/>
          <w:bCs/>
          <w:sz w:val="30"/>
          <w:szCs w:val="30"/>
        </w:rPr>
      </w:pPr>
      <w:r>
        <w:rPr>
          <w:rFonts w:hint="eastAsia" w:ascii="仿宋_GB2312" w:eastAsia="仿宋_GB2312"/>
          <w:b/>
          <w:bCs/>
          <w:sz w:val="30"/>
          <w:szCs w:val="30"/>
        </w:rPr>
        <w:t>5、开工时间</w:t>
      </w:r>
    </w:p>
    <w:p>
      <w:pPr>
        <w:pStyle w:val="2"/>
        <w:ind w:firstLine="0" w:firstLineChars="0"/>
        <w:rPr>
          <w:rFonts w:ascii="仿宋_GB2312" w:eastAsia="仿宋_GB2312"/>
          <w:bCs/>
          <w:sz w:val="30"/>
          <w:szCs w:val="30"/>
        </w:rPr>
      </w:pPr>
      <w:r>
        <w:rPr>
          <w:rFonts w:hint="eastAsia" w:ascii="仿宋_GB2312" w:eastAsia="仿宋_GB2312"/>
          <w:bCs/>
          <w:sz w:val="30"/>
          <w:szCs w:val="30"/>
        </w:rPr>
        <w:t>开工令下发时间：2020年3月</w:t>
      </w:r>
      <w:r>
        <w:rPr>
          <w:rFonts w:ascii="仿宋_GB2312" w:eastAsia="仿宋_GB2312"/>
          <w:bCs/>
          <w:sz w:val="30"/>
          <w:szCs w:val="30"/>
        </w:rPr>
        <w:t>3</w:t>
      </w:r>
      <w:r>
        <w:rPr>
          <w:rFonts w:hint="eastAsia" w:ascii="仿宋_GB2312" w:eastAsia="仿宋_GB2312"/>
          <w:bCs/>
          <w:sz w:val="30"/>
          <w:szCs w:val="30"/>
        </w:rPr>
        <w:t>日</w:t>
      </w:r>
    </w:p>
    <w:p>
      <w:pPr>
        <w:pStyle w:val="2"/>
        <w:ind w:firstLine="0" w:firstLineChars="0"/>
        <w:rPr>
          <w:rFonts w:ascii="仿宋_GB2312" w:eastAsia="仿宋_GB2312"/>
          <w:b/>
          <w:bCs/>
          <w:sz w:val="30"/>
          <w:szCs w:val="30"/>
        </w:rPr>
      </w:pPr>
      <w:r>
        <w:rPr>
          <w:rFonts w:hint="eastAsia" w:ascii="仿宋_GB2312" w:eastAsia="仿宋_GB2312"/>
          <w:b/>
          <w:bCs/>
          <w:sz w:val="30"/>
          <w:szCs w:val="30"/>
        </w:rPr>
        <w:t>6、工期</w:t>
      </w:r>
    </w:p>
    <w:p>
      <w:pPr>
        <w:pStyle w:val="2"/>
        <w:ind w:firstLine="0" w:firstLineChars="0"/>
        <w:rPr>
          <w:rFonts w:ascii="仿宋_GB2312" w:eastAsia="仿宋_GB2312"/>
          <w:bCs/>
          <w:sz w:val="30"/>
          <w:szCs w:val="30"/>
        </w:rPr>
      </w:pPr>
      <w:r>
        <w:rPr>
          <w:rFonts w:hint="eastAsia" w:ascii="仿宋_GB2312" w:eastAsia="仿宋_GB2312"/>
          <w:bCs/>
          <w:sz w:val="30"/>
          <w:szCs w:val="30"/>
        </w:rPr>
        <w:t>计划开工日期：2020年3月3日</w:t>
      </w:r>
    </w:p>
    <w:p>
      <w:pPr>
        <w:pStyle w:val="2"/>
        <w:ind w:firstLine="0" w:firstLineChars="0"/>
        <w:rPr>
          <w:rFonts w:ascii="仿宋_GB2312" w:eastAsia="仿宋_GB2312"/>
          <w:bCs/>
          <w:sz w:val="30"/>
          <w:szCs w:val="30"/>
        </w:rPr>
      </w:pPr>
      <w:r>
        <w:rPr>
          <w:rFonts w:hint="eastAsia" w:ascii="仿宋_GB2312" w:eastAsia="仿宋_GB2312"/>
          <w:bCs/>
          <w:sz w:val="30"/>
          <w:szCs w:val="30"/>
        </w:rPr>
        <w:t>计划交工日期：2021年12月31日</w:t>
      </w:r>
    </w:p>
    <w:p>
      <w:pPr>
        <w:pStyle w:val="2"/>
        <w:ind w:firstLine="0" w:firstLineChars="0"/>
        <w:rPr>
          <w:rFonts w:ascii="仿宋_GB2312" w:eastAsia="仿宋_GB2312"/>
          <w:bCs/>
          <w:sz w:val="30"/>
          <w:szCs w:val="30"/>
        </w:rPr>
      </w:pPr>
    </w:p>
    <w:p>
      <w:pPr>
        <w:pStyle w:val="2"/>
        <w:ind w:firstLine="0" w:firstLineChars="0"/>
        <w:rPr>
          <w:rFonts w:ascii="仿宋_GB2312" w:eastAsia="仿宋_GB2312"/>
          <w:bCs/>
          <w:sz w:val="30"/>
          <w:szCs w:val="30"/>
        </w:rPr>
      </w:pPr>
    </w:p>
    <w:p>
      <w:pPr>
        <w:pStyle w:val="2"/>
        <w:ind w:firstLine="0" w:firstLineChars="0"/>
        <w:rPr>
          <w:rFonts w:ascii="仿宋_GB2312" w:eastAsia="仿宋_GB2312"/>
          <w:bCs/>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2205"/>
    <w:multiLevelType w:val="multilevel"/>
    <w:tmpl w:val="7126220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40E0262"/>
    <w:multiLevelType w:val="multilevel"/>
    <w:tmpl w:val="740E026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87A27"/>
    <w:rsid w:val="00062438"/>
    <w:rsid w:val="001254FA"/>
    <w:rsid w:val="00213B09"/>
    <w:rsid w:val="002D3EA7"/>
    <w:rsid w:val="003748BD"/>
    <w:rsid w:val="003B1A49"/>
    <w:rsid w:val="003B4872"/>
    <w:rsid w:val="003D3578"/>
    <w:rsid w:val="0050149C"/>
    <w:rsid w:val="0058120D"/>
    <w:rsid w:val="005A6398"/>
    <w:rsid w:val="006422AB"/>
    <w:rsid w:val="00712891"/>
    <w:rsid w:val="007452F2"/>
    <w:rsid w:val="00762DFD"/>
    <w:rsid w:val="008209E0"/>
    <w:rsid w:val="008510A1"/>
    <w:rsid w:val="0088705D"/>
    <w:rsid w:val="009B104C"/>
    <w:rsid w:val="00A07A96"/>
    <w:rsid w:val="00A11D39"/>
    <w:rsid w:val="00A9491F"/>
    <w:rsid w:val="00AC7168"/>
    <w:rsid w:val="00B7271B"/>
    <w:rsid w:val="00D74155"/>
    <w:rsid w:val="00DD5409"/>
    <w:rsid w:val="00E42D35"/>
    <w:rsid w:val="00E87A27"/>
    <w:rsid w:val="00F02CCE"/>
    <w:rsid w:val="05AA7B8A"/>
    <w:rsid w:val="175405F9"/>
    <w:rsid w:val="1BB4432B"/>
    <w:rsid w:val="1E8B51E2"/>
    <w:rsid w:val="456945F1"/>
    <w:rsid w:val="48444A0B"/>
    <w:rsid w:val="4BF53054"/>
    <w:rsid w:val="4FE151BB"/>
    <w:rsid w:val="50B13E30"/>
    <w:rsid w:val="5DA205C1"/>
    <w:rsid w:val="5E2950EE"/>
    <w:rsid w:val="605A0D1D"/>
    <w:rsid w:val="667F67E0"/>
    <w:rsid w:val="696B2DA0"/>
    <w:rsid w:val="6BA37010"/>
    <w:rsid w:val="793371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缩2"/>
    <w:qFormat/>
    <w:uiPriority w:val="0"/>
    <w:pPr>
      <w:spacing w:line="360" w:lineRule="auto"/>
      <w:ind w:firstLine="560" w:firstLineChars="200"/>
    </w:pPr>
    <w:rPr>
      <w:rFonts w:ascii="Times New Roman" w:hAnsi="Times New Roman" w:eastAsia="宋体" w:cs="Times New Roman"/>
      <w:sz w:val="24"/>
      <w:szCs w:val="24"/>
      <w:lang w:val="en-US" w:eastAsia="zh-CN" w:bidi="ar-SA"/>
    </w:rPr>
  </w:style>
  <w:style w:type="paragraph" w:styleId="3">
    <w:name w:val="Body Text"/>
    <w:basedOn w:val="1"/>
    <w:unhideWhenUsed/>
    <w:qFormat/>
    <w:uiPriority w:val="0"/>
    <w:rPr>
      <w:lang w:val="zh-CN"/>
    </w:rPr>
  </w:style>
  <w:style w:type="paragraph" w:styleId="4">
    <w:name w:val="Balloon Text"/>
    <w:basedOn w:val="1"/>
    <w:link w:val="10"/>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fontstyle01"/>
    <w:basedOn w:val="8"/>
    <w:qFormat/>
    <w:uiPriority w:val="0"/>
    <w:rPr>
      <w:rFonts w:hint="eastAsia" w:ascii="宋体" w:hAnsi="宋体" w:eastAsia="宋体" w:cs="宋体"/>
      <w:color w:val="000000"/>
      <w:sz w:val="22"/>
      <w:szCs w:val="22"/>
    </w:rPr>
  </w:style>
  <w:style w:type="character" w:customStyle="1" w:styleId="10">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11">
    <w:name w:val="页眉 Char"/>
    <w:basedOn w:val="8"/>
    <w:link w:val="6"/>
    <w:qFormat/>
    <w:uiPriority w:val="0"/>
    <w:rPr>
      <w:rFonts w:asciiTheme="minorHAnsi" w:hAnsiTheme="minorHAnsi" w:eastAsiaTheme="minorEastAsia" w:cstheme="minorBidi"/>
      <w:kern w:val="2"/>
      <w:sz w:val="18"/>
      <w:szCs w:val="18"/>
    </w:rPr>
  </w:style>
  <w:style w:type="character" w:customStyle="1" w:styleId="12">
    <w:name w:val="页脚 Char"/>
    <w:basedOn w:val="8"/>
    <w:link w:val="5"/>
    <w:qFormat/>
    <w:uiPriority w:val="0"/>
    <w:rPr>
      <w:rFonts w:asciiTheme="minorHAnsi" w:hAnsiTheme="minorHAnsi" w:eastAsiaTheme="minorEastAsia" w:cstheme="minorBidi"/>
      <w:kern w:val="2"/>
      <w:sz w:val="18"/>
      <w:szCs w:val="18"/>
    </w:rPr>
  </w:style>
  <w:style w:type="paragraph" w:customStyle="1" w:styleId="13">
    <w:name w:val="Table Paragraph"/>
    <w:basedOn w:val="1"/>
    <w:qFormat/>
    <w:uiPriority w:val="1"/>
    <w:pPr>
      <w:autoSpaceDE w:val="0"/>
      <w:autoSpaceDN w:val="0"/>
      <w:jc w:val="left"/>
    </w:pPr>
    <w:rPr>
      <w:rFonts w:ascii="宋体" w:hAnsi="宋体" w:eastAsia="宋体" w:cs="宋体"/>
      <w:kern w:val="0"/>
      <w:sz w:val="22"/>
      <w:szCs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130</Words>
  <Characters>744</Characters>
  <Lines>6</Lines>
  <Paragraphs>1</Paragraphs>
  <TotalTime>0</TotalTime>
  <ScaleCrop>false</ScaleCrop>
  <LinksUpToDate>false</LinksUpToDate>
  <CharactersWithSpaces>873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2020-03-26T05:36:00Z</dcterms:created>
  <dc:creator>Administrator</dc:creator>
  <cp:lastModifiedBy>田佳颖Thalia</cp:lastModifiedBy>
  <dcterms:modified xsi:type="dcterms:W3CDTF">2020-03-27T06:24:54Z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