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宋体" w:hAnsi="宋体" w:eastAsia="宋体" w:cs="宋体"/>
          <w:b/>
          <w:bCs/>
          <w:sz w:val="44"/>
          <w:szCs w:val="44"/>
          <w:lang w:val="en-US" w:eastAsia="zh-CN"/>
        </w:rPr>
      </w:pPr>
    </w:p>
    <w:p>
      <w:pPr>
        <w:spacing w:line="600" w:lineRule="exact"/>
        <w:jc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《浙江省中小企业发展专项资金管理办法》征求意见及采纳情况说明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本办法已于</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日起在省财政厅门户网站向社会公众主动公开征求意见7个工作日，无意见反馈。本办法在向社会公众主动公开征求意见前已书面向市、县（部门）征求过意见，</w:t>
      </w:r>
      <w:r>
        <w:rPr>
          <w:rFonts w:hint="eastAsia" w:ascii="仿宋_GB2312" w:hAnsi="仿宋_GB2312" w:eastAsia="仿宋_GB2312" w:cs="仿宋_GB2312"/>
          <w:sz w:val="32"/>
          <w:szCs w:val="32"/>
          <w:lang w:eastAsia="zh-CN"/>
        </w:rPr>
        <w:t>丽水</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、舟山市</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分别</w:t>
      </w:r>
      <w:r>
        <w:rPr>
          <w:rFonts w:hint="eastAsia" w:ascii="仿宋_GB2312" w:hAnsi="仿宋_GB2312" w:eastAsia="仿宋_GB2312" w:cs="仿宋_GB2312"/>
          <w:sz w:val="32"/>
          <w:szCs w:val="32"/>
        </w:rPr>
        <w:t>反馈了1条</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2条</w:t>
      </w:r>
      <w:r>
        <w:rPr>
          <w:rFonts w:hint="eastAsia" w:ascii="仿宋_GB2312" w:hAnsi="仿宋_GB2312" w:eastAsia="仿宋_GB2312" w:cs="仿宋_GB2312"/>
          <w:sz w:val="32"/>
          <w:szCs w:val="32"/>
        </w:rPr>
        <w:t>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采纳</w:t>
      </w:r>
      <w:r>
        <w:rPr>
          <w:rFonts w:hint="eastAsia" w:ascii="仿宋_GB2312" w:hAnsi="仿宋_GB2312" w:eastAsia="仿宋_GB2312" w:cs="仿宋_GB2312"/>
          <w:sz w:val="32"/>
          <w:szCs w:val="32"/>
          <w:lang w:val="en-US" w:eastAsia="zh-CN"/>
        </w:rPr>
        <w:t>2条、部分采纳1条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对舟山市</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提出的部分采纳的意见，主要是对条款的理解有误，已向舟山市财政局作了解释。具体意见采纳情况详见下表：</w:t>
      </w:r>
    </w:p>
    <w:tbl>
      <w:tblPr>
        <w:tblStyle w:val="3"/>
        <w:tblW w:w="9000" w:type="dxa"/>
        <w:tblInd w:w="-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3"/>
        <w:gridCol w:w="968"/>
        <w:gridCol w:w="3777"/>
        <w:gridCol w:w="3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8" w:hRule="atLeast"/>
        </w:trPr>
        <w:tc>
          <w:tcPr>
            <w:tcW w:w="723" w:type="dxa"/>
            <w:tcBorders>
              <w:top w:val="single" w:color="auto" w:sz="4" w:space="0"/>
              <w:left w:val="single" w:color="000000" w:sz="4" w:space="0"/>
              <w:bottom w:val="single" w:color="auto" w:sz="4" w:space="0"/>
              <w:right w:val="single" w:color="000000" w:sz="4" w:space="0"/>
            </w:tcBorders>
            <w:shd w:val="clear" w:color="auto" w:fill="EEECE1"/>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000000"/>
                <w:sz w:val="24"/>
                <w:szCs w:val="24"/>
                <w:u w:val="none"/>
                <w:lang w:val="en-US" w:eastAsia="zh-CN"/>
              </w:rPr>
            </w:pPr>
            <w:r>
              <w:rPr>
                <w:rFonts w:hint="eastAsia" w:ascii="仿宋_GB2312" w:hAnsi="仿宋_GB2312" w:eastAsia="仿宋_GB2312" w:cs="仿宋_GB2312"/>
                <w:b/>
                <w:bCs/>
                <w:i w:val="0"/>
                <w:color w:val="000000"/>
                <w:sz w:val="24"/>
                <w:szCs w:val="24"/>
                <w:u w:val="none"/>
                <w:lang w:val="en-US" w:eastAsia="zh-CN"/>
              </w:rPr>
              <w:t>序号</w:t>
            </w:r>
          </w:p>
        </w:tc>
        <w:tc>
          <w:tcPr>
            <w:tcW w:w="968" w:type="dxa"/>
            <w:tcBorders>
              <w:top w:val="single" w:color="auto" w:sz="4" w:space="0"/>
              <w:left w:val="single" w:color="000000" w:sz="4" w:space="0"/>
              <w:bottom w:val="single" w:color="auto" w:sz="4" w:space="0"/>
              <w:right w:val="single" w:color="000000" w:sz="4" w:space="0"/>
            </w:tcBorders>
            <w:shd w:val="clear" w:color="auto" w:fill="EEECE1"/>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000000"/>
                <w:sz w:val="24"/>
                <w:szCs w:val="24"/>
                <w:u w:val="none"/>
                <w:lang w:val="en-US" w:eastAsia="zh-CN"/>
              </w:rPr>
            </w:pPr>
            <w:r>
              <w:rPr>
                <w:rFonts w:hint="eastAsia" w:ascii="仿宋_GB2312" w:hAnsi="仿宋_GB2312" w:eastAsia="仿宋_GB2312" w:cs="仿宋_GB2312"/>
                <w:b/>
                <w:bCs/>
                <w:i w:val="0"/>
                <w:color w:val="000000"/>
                <w:sz w:val="24"/>
                <w:szCs w:val="24"/>
                <w:u w:val="none"/>
                <w:lang w:val="en-US" w:eastAsia="zh-CN"/>
              </w:rPr>
              <w:t>市县</w:t>
            </w:r>
          </w:p>
        </w:tc>
        <w:tc>
          <w:tcPr>
            <w:tcW w:w="3777" w:type="dxa"/>
            <w:tcBorders>
              <w:top w:val="single" w:color="auto" w:sz="4" w:space="0"/>
              <w:left w:val="single" w:color="000000" w:sz="4" w:space="0"/>
              <w:bottom w:val="single" w:color="auto" w:sz="4" w:space="0"/>
              <w:right w:val="single" w:color="000000" w:sz="4" w:space="0"/>
            </w:tcBorders>
            <w:shd w:val="clear" w:color="auto" w:fill="EEECE1"/>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000000"/>
                <w:sz w:val="24"/>
                <w:szCs w:val="24"/>
                <w:u w:val="none"/>
                <w:lang w:val="en-US" w:eastAsia="zh-CN"/>
              </w:rPr>
            </w:pPr>
            <w:r>
              <w:rPr>
                <w:rFonts w:hint="eastAsia" w:ascii="仿宋_GB2312" w:hAnsi="仿宋_GB2312" w:eastAsia="仿宋_GB2312" w:cs="仿宋_GB2312"/>
                <w:b/>
                <w:bCs/>
                <w:i w:val="0"/>
                <w:color w:val="000000"/>
                <w:sz w:val="24"/>
                <w:szCs w:val="24"/>
                <w:u w:val="none"/>
                <w:lang w:val="en-US" w:eastAsia="zh-CN"/>
              </w:rPr>
              <w:t>意见建议</w:t>
            </w:r>
          </w:p>
        </w:tc>
        <w:tc>
          <w:tcPr>
            <w:tcW w:w="3532" w:type="dxa"/>
            <w:tcBorders>
              <w:top w:val="single" w:color="auto" w:sz="4" w:space="0"/>
              <w:left w:val="single" w:color="000000" w:sz="4" w:space="0"/>
              <w:bottom w:val="single" w:color="auto" w:sz="4" w:space="0"/>
              <w:right w:val="single" w:color="000000" w:sz="4" w:space="0"/>
            </w:tcBorders>
            <w:shd w:val="clear" w:color="auto" w:fill="EEECE1"/>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
                <w:bCs/>
                <w:i w:val="0"/>
                <w:color w:val="000000"/>
                <w:sz w:val="24"/>
                <w:szCs w:val="24"/>
                <w:u w:val="none"/>
                <w:lang w:val="en-US" w:eastAsia="zh-CN"/>
              </w:rPr>
            </w:pPr>
            <w:r>
              <w:rPr>
                <w:rFonts w:hint="eastAsia" w:ascii="仿宋_GB2312" w:hAnsi="仿宋_GB2312" w:eastAsia="仿宋_GB2312" w:cs="仿宋_GB2312"/>
                <w:b/>
                <w:bCs/>
                <w:i w:val="0"/>
                <w:color w:val="000000"/>
                <w:sz w:val="24"/>
                <w:szCs w:val="24"/>
                <w:u w:val="none"/>
                <w:lang w:val="en-US" w:eastAsia="zh-CN"/>
              </w:rPr>
              <w:t>采纳情况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8" w:hRule="atLeast"/>
        </w:trPr>
        <w:tc>
          <w:tcPr>
            <w:tcW w:w="72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w:t>
            </w:r>
          </w:p>
        </w:tc>
        <w:tc>
          <w:tcPr>
            <w:tcW w:w="96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sz w:val="24"/>
                <w:szCs w:val="24"/>
                <w:u w:val="none"/>
                <w:lang w:eastAsia="zh-CN"/>
              </w:rPr>
              <w:t>丽水市</w:t>
            </w:r>
          </w:p>
        </w:tc>
        <w:tc>
          <w:tcPr>
            <w:tcW w:w="377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建议在第七条（一）竞争性分配第四段增加内容：“对‘山区26县’给予政策倾斜，适当放宽项目竞争性遴选条件。</w:t>
            </w:r>
            <w:r>
              <w:rPr>
                <w:rFonts w:hint="eastAsia" w:ascii="仿宋_GB2312" w:hAnsi="仿宋_GB2312" w:eastAsia="仿宋_GB2312" w:cs="仿宋_GB2312"/>
                <w:color w:val="000000"/>
                <w:kern w:val="0"/>
                <w:sz w:val="32"/>
                <w:szCs w:val="32"/>
                <w:lang w:eastAsia="zh-CN"/>
              </w:rPr>
              <w:t>”</w:t>
            </w:r>
          </w:p>
        </w:tc>
        <w:tc>
          <w:tcPr>
            <w:tcW w:w="3532" w:type="dxa"/>
            <w:vMerge w:val="restart"/>
            <w:tcBorders>
              <w:top w:val="single" w:color="auto"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采纳。</w:t>
            </w:r>
            <w:r>
              <w:rPr>
                <w:rFonts w:hint="eastAsia" w:ascii="仿宋_GB2312" w:hAnsi="仿宋_GB2312" w:eastAsia="仿宋_GB2312" w:cs="仿宋_GB2312"/>
                <w:i w:val="0"/>
                <w:color w:val="000000"/>
                <w:kern w:val="0"/>
                <w:sz w:val="24"/>
                <w:szCs w:val="24"/>
                <w:u w:val="none"/>
                <w:lang w:val="en-US" w:eastAsia="zh-CN" w:bidi="ar"/>
              </w:rPr>
              <w:t>第四条中的“对加快发展地区予以适当倾斜”修改为“对山区26县和海岛偏远地区予以适当倾斜”。关于对山区26县竞争性分配中适当放宽项目竞争性遴选条件，具体将在有关申报通知实际操作中予以体现。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2" w:hRule="atLeast"/>
        </w:trPr>
        <w:tc>
          <w:tcPr>
            <w:tcW w:w="723"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w:t>
            </w:r>
          </w:p>
        </w:tc>
        <w:tc>
          <w:tcPr>
            <w:tcW w:w="96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舟山市</w:t>
            </w:r>
          </w:p>
        </w:tc>
        <w:tc>
          <w:tcPr>
            <w:tcW w:w="377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第四条“对加快发展地区予以适当倾斜”，建议修改为“对加快发展地区和海岛偏远地区予以适当倾斜”</w:t>
            </w:r>
          </w:p>
        </w:tc>
        <w:tc>
          <w:tcPr>
            <w:tcW w:w="3532"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1" w:hRule="atLeast"/>
        </w:trPr>
        <w:tc>
          <w:tcPr>
            <w:tcW w:w="723"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w:t>
            </w:r>
          </w:p>
        </w:tc>
        <w:tc>
          <w:tcPr>
            <w:tcW w:w="96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eastAsia="zh-CN"/>
              </w:rPr>
              <w:t>舟山市</w:t>
            </w:r>
          </w:p>
        </w:tc>
        <w:tc>
          <w:tcPr>
            <w:tcW w:w="377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十一条“对于下达市、县（市、区）的专项资金，除已明确奖励、补助对象部分外，省里将明确年度专项资金支持的重点内容（领域）、申报条件、绩效目标等，市、县（市、区）应据此制定专项使用方案”，建议在每年度项目储备结束前明确下一年度专项资金支持的重点内容（领域）、申报条件、绩效目标等。主要考虑根据省级转移支付项目库系统要求，各市、县（市、区）需在每年年底前完成下一年度项目储备。</w:t>
            </w:r>
          </w:p>
        </w:tc>
        <w:tc>
          <w:tcPr>
            <w:tcW w:w="3532"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部分采纳。</w:t>
            </w:r>
            <w:r>
              <w:rPr>
                <w:rFonts w:hint="eastAsia" w:ascii="仿宋_GB2312" w:hAnsi="仿宋_GB2312" w:eastAsia="仿宋_GB2312" w:cs="仿宋_GB2312"/>
                <w:i w:val="0"/>
                <w:color w:val="000000"/>
                <w:kern w:val="0"/>
                <w:sz w:val="24"/>
                <w:szCs w:val="24"/>
                <w:u w:val="none"/>
                <w:lang w:val="en-US" w:eastAsia="zh-CN" w:bidi="ar"/>
              </w:rPr>
              <w:t>根据第八条、第九条，省里将于每年6月30日前研究提出下一年度专项资金支持方向、重点支持内容（领域）、分配方式等，每年10月底前已完成下一年度资金申报工作，即在各地项目储备结束前。第十一条所述“省里将明确年度专项资金支持的重点内容（领域）、申报条件、绩效目标等”，是指已完成资金申报分配后，下达市县的省级专项资金的使用要求，两者不是一件事。因此，十一条不需要修改。</w:t>
            </w:r>
          </w:p>
        </w:tc>
      </w:tr>
    </w:tbl>
    <w:p>
      <w:pPr>
        <w:rPr>
          <w:rFonts w:hint="eastAsia"/>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E430E"/>
    <w:rsid w:val="159C2891"/>
    <w:rsid w:val="3B4071CD"/>
    <w:rsid w:val="759E4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2022-01-07T10:43:00Z</dcterms:created>
  <dc:creator>张志华</dc:creator>
  <cp:lastModifiedBy>张志华</cp:lastModifiedBy>
  <dcterms:modified xsi:type="dcterms:W3CDTF">2022-01-07T10:44:43Z</dcterms:modified>
  <dc:title>《浙江省中小企业发展专项资金管理办法》征求意见及采纳情况说明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