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2AF" w:rsidRDefault="00F202AF" w:rsidP="00F202AF">
      <w:pPr>
        <w:spacing w:line="520" w:lineRule="exact"/>
        <w:rPr>
          <w:rFonts w:ascii="Times New Roman" w:eastAsia="仿宋_GB2312"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2</w:t>
      </w:r>
    </w:p>
    <w:p w:rsidR="00F202AF" w:rsidRDefault="00F202AF" w:rsidP="00F202AF">
      <w:pPr>
        <w:widowControl/>
        <w:spacing w:beforeLines="50" w:afterLines="50" w:line="5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杭州市营养健康餐厅评审标准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7140"/>
        <w:gridCol w:w="811"/>
        <w:gridCol w:w="921"/>
        <w:gridCol w:w="4252"/>
        <w:gridCol w:w="897"/>
      </w:tblGrid>
      <w:tr w:rsidR="00F202AF" w:rsidTr="00592EFB">
        <w:trPr>
          <w:tblHeader/>
          <w:jc w:val="center"/>
        </w:trPr>
        <w:tc>
          <w:tcPr>
            <w:tcW w:w="874" w:type="dxa"/>
            <w:tcBorders>
              <w:top w:val="single" w:sz="4" w:space="0" w:color="auto"/>
            </w:tcBorders>
            <w:vAlign w:val="center"/>
          </w:tcPr>
          <w:p w:rsidR="00F202AF" w:rsidRDefault="00F202AF" w:rsidP="00592EFB">
            <w:pPr>
              <w:pStyle w:val="a3"/>
              <w:ind w:firstLineChars="0" w:firstLine="0"/>
              <w:jc w:val="center"/>
              <w:rPr>
                <w:rFonts w:ascii="Times New Roman" w:eastAsia="仿宋"/>
                <w:b/>
                <w:bCs/>
                <w:sz w:val="24"/>
                <w:szCs w:val="24"/>
              </w:rPr>
            </w:pPr>
            <w:r>
              <w:rPr>
                <w:rFonts w:ascii="Times New Roman" w:eastAsia="仿宋"/>
                <w:b/>
                <w:bCs/>
                <w:sz w:val="24"/>
                <w:szCs w:val="24"/>
              </w:rPr>
              <w:t>项目</w:t>
            </w:r>
          </w:p>
        </w:tc>
        <w:tc>
          <w:tcPr>
            <w:tcW w:w="7140" w:type="dxa"/>
            <w:tcBorders>
              <w:top w:val="single" w:sz="4" w:space="0" w:color="auto"/>
            </w:tcBorders>
            <w:vAlign w:val="center"/>
          </w:tcPr>
          <w:p w:rsidR="00F202AF" w:rsidRDefault="00F202AF" w:rsidP="00592EFB">
            <w:pPr>
              <w:pStyle w:val="a3"/>
              <w:ind w:firstLineChars="0" w:firstLine="0"/>
              <w:jc w:val="center"/>
              <w:rPr>
                <w:rFonts w:ascii="Times New Roman" w:eastAsia="仿宋"/>
                <w:b/>
                <w:bCs/>
                <w:sz w:val="24"/>
                <w:szCs w:val="24"/>
              </w:rPr>
            </w:pPr>
            <w:r>
              <w:rPr>
                <w:rFonts w:ascii="Times New Roman" w:eastAsia="仿宋"/>
                <w:b/>
                <w:bCs/>
                <w:sz w:val="24"/>
                <w:szCs w:val="24"/>
              </w:rPr>
              <w:t>建设内容</w:t>
            </w:r>
          </w:p>
        </w:tc>
        <w:tc>
          <w:tcPr>
            <w:tcW w:w="811" w:type="dxa"/>
            <w:tcBorders>
              <w:top w:val="single" w:sz="4" w:space="0" w:color="auto"/>
            </w:tcBorders>
            <w:vAlign w:val="center"/>
          </w:tcPr>
          <w:p w:rsidR="00F202AF" w:rsidRDefault="00F202AF" w:rsidP="00592EFB">
            <w:pPr>
              <w:pStyle w:val="a3"/>
              <w:ind w:firstLineChars="0" w:firstLine="0"/>
              <w:jc w:val="center"/>
              <w:rPr>
                <w:rFonts w:ascii="Times New Roman" w:eastAsia="仿宋"/>
                <w:b/>
                <w:bCs/>
                <w:sz w:val="24"/>
                <w:szCs w:val="24"/>
              </w:rPr>
            </w:pPr>
            <w:r>
              <w:rPr>
                <w:rFonts w:ascii="Times New Roman" w:eastAsia="仿宋"/>
                <w:b/>
                <w:bCs/>
                <w:sz w:val="24"/>
                <w:szCs w:val="24"/>
              </w:rPr>
              <w:t>评估方法</w:t>
            </w:r>
          </w:p>
        </w:tc>
        <w:tc>
          <w:tcPr>
            <w:tcW w:w="921" w:type="dxa"/>
            <w:tcBorders>
              <w:top w:val="single" w:sz="4" w:space="0" w:color="auto"/>
            </w:tcBorders>
            <w:vAlign w:val="center"/>
          </w:tcPr>
          <w:p w:rsidR="00F202AF" w:rsidRDefault="00F202AF" w:rsidP="00592EFB">
            <w:pPr>
              <w:pStyle w:val="a3"/>
              <w:ind w:firstLineChars="0" w:firstLine="0"/>
              <w:jc w:val="center"/>
              <w:rPr>
                <w:rFonts w:ascii="Times New Roman" w:eastAsia="仿宋"/>
                <w:b/>
                <w:bCs/>
                <w:sz w:val="24"/>
                <w:szCs w:val="24"/>
              </w:rPr>
            </w:pPr>
            <w:r>
              <w:rPr>
                <w:rFonts w:ascii="Times New Roman" w:eastAsia="仿宋"/>
                <w:b/>
                <w:bCs/>
                <w:sz w:val="24"/>
                <w:szCs w:val="24"/>
              </w:rPr>
              <w:t>分值</w:t>
            </w:r>
          </w:p>
        </w:tc>
        <w:tc>
          <w:tcPr>
            <w:tcW w:w="4252" w:type="dxa"/>
            <w:tcBorders>
              <w:top w:val="single" w:sz="4" w:space="0" w:color="auto"/>
            </w:tcBorders>
            <w:vAlign w:val="center"/>
          </w:tcPr>
          <w:p w:rsidR="00F202AF" w:rsidRDefault="00F202AF" w:rsidP="00592EFB">
            <w:pPr>
              <w:pStyle w:val="a3"/>
              <w:ind w:firstLineChars="0" w:firstLine="0"/>
              <w:jc w:val="center"/>
              <w:rPr>
                <w:rFonts w:ascii="Times New Roman" w:eastAsia="仿宋"/>
                <w:b/>
                <w:bCs/>
                <w:sz w:val="24"/>
                <w:szCs w:val="24"/>
              </w:rPr>
            </w:pPr>
            <w:r>
              <w:rPr>
                <w:rFonts w:ascii="Times New Roman" w:eastAsia="仿宋"/>
                <w:b/>
                <w:bCs/>
                <w:sz w:val="24"/>
                <w:szCs w:val="24"/>
              </w:rPr>
              <w:t>评分标准</w:t>
            </w:r>
          </w:p>
        </w:tc>
        <w:tc>
          <w:tcPr>
            <w:tcW w:w="897" w:type="dxa"/>
            <w:tcBorders>
              <w:top w:val="single" w:sz="4" w:space="0" w:color="auto"/>
            </w:tcBorders>
            <w:vAlign w:val="center"/>
          </w:tcPr>
          <w:p w:rsidR="00F202AF" w:rsidRDefault="00F202AF" w:rsidP="00592EFB">
            <w:pPr>
              <w:pStyle w:val="a3"/>
              <w:ind w:firstLineChars="0" w:firstLine="0"/>
              <w:jc w:val="center"/>
              <w:rPr>
                <w:rFonts w:ascii="Times New Roman" w:eastAsia="仿宋"/>
                <w:b/>
                <w:bCs/>
                <w:sz w:val="24"/>
                <w:szCs w:val="24"/>
              </w:rPr>
            </w:pPr>
            <w:r>
              <w:rPr>
                <w:rFonts w:ascii="Times New Roman" w:eastAsia="仿宋"/>
                <w:b/>
                <w:bCs/>
                <w:sz w:val="24"/>
                <w:szCs w:val="24"/>
              </w:rPr>
              <w:t>得分</w:t>
            </w:r>
          </w:p>
        </w:tc>
      </w:tr>
      <w:tr w:rsidR="00F202AF" w:rsidTr="00592EFB">
        <w:trPr>
          <w:trHeight w:val="454"/>
          <w:jc w:val="center"/>
        </w:trPr>
        <w:tc>
          <w:tcPr>
            <w:tcW w:w="874" w:type="dxa"/>
            <w:vMerge w:val="restart"/>
            <w:tcBorders>
              <w:top w:val="single" w:sz="4" w:space="0" w:color="auto"/>
            </w:tcBorders>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t>必备项</w:t>
            </w:r>
          </w:p>
        </w:tc>
        <w:tc>
          <w:tcPr>
            <w:tcW w:w="7140" w:type="dxa"/>
            <w:tcBorders>
              <w:top w:val="single" w:sz="4" w:space="0" w:color="auto"/>
            </w:tcBorders>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w:t>
            </w:r>
            <w:r>
              <w:rPr>
                <w:rFonts w:ascii="Times New Roman" w:eastAsia="仿宋_GB2312"/>
                <w:snapToGrid w:val="0"/>
                <w:kern w:val="0"/>
                <w:szCs w:val="21"/>
              </w:rPr>
              <w:t>实施公筷公勺或分餐制。</w:t>
            </w:r>
          </w:p>
        </w:tc>
        <w:tc>
          <w:tcPr>
            <w:tcW w:w="811" w:type="dxa"/>
            <w:vMerge w:val="restart"/>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查看资料或现场查看</w:t>
            </w:r>
          </w:p>
        </w:tc>
        <w:tc>
          <w:tcPr>
            <w:tcW w:w="921" w:type="dxa"/>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52" w:type="dxa"/>
            <w:vMerge w:val="restart"/>
            <w:tcBorders>
              <w:top w:val="single" w:sz="4" w:space="0" w:color="auto"/>
            </w:tcBorders>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任意一条未达到的不予验收。</w:t>
            </w:r>
          </w:p>
        </w:tc>
        <w:tc>
          <w:tcPr>
            <w:tcW w:w="897" w:type="dxa"/>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F202AF" w:rsidTr="00592EFB">
        <w:trPr>
          <w:trHeight w:val="680"/>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tcBorders>
              <w:top w:val="single" w:sz="4" w:space="0" w:color="auto"/>
            </w:tcBorders>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2.</w:t>
            </w:r>
            <w:r>
              <w:rPr>
                <w:rFonts w:ascii="Times New Roman" w:eastAsia="仿宋_GB2312"/>
                <w:snapToGrid w:val="0"/>
                <w:kern w:val="0"/>
                <w:szCs w:val="21"/>
              </w:rPr>
              <w:t>取得《食品经营许可证》，近</w:t>
            </w:r>
            <w:r>
              <w:rPr>
                <w:rFonts w:ascii="Times New Roman" w:eastAsia="仿宋_GB2312"/>
                <w:snapToGrid w:val="0"/>
                <w:kern w:val="0"/>
                <w:szCs w:val="21"/>
              </w:rPr>
              <w:t>3</w:t>
            </w:r>
            <w:r>
              <w:rPr>
                <w:rFonts w:ascii="Times New Roman" w:eastAsia="仿宋_GB2312"/>
                <w:snapToGrid w:val="0"/>
                <w:kern w:val="0"/>
                <w:szCs w:val="21"/>
              </w:rPr>
              <w:t>年未发生食品安全事故，近</w:t>
            </w:r>
            <w:r>
              <w:rPr>
                <w:rFonts w:ascii="Times New Roman" w:eastAsia="仿宋_GB2312"/>
                <w:snapToGrid w:val="0"/>
                <w:kern w:val="0"/>
                <w:szCs w:val="21"/>
              </w:rPr>
              <w:t>2</w:t>
            </w:r>
            <w:r>
              <w:rPr>
                <w:rFonts w:ascii="Times New Roman" w:eastAsia="仿宋_GB2312"/>
                <w:snapToGrid w:val="0"/>
                <w:kern w:val="0"/>
                <w:szCs w:val="21"/>
              </w:rPr>
              <w:t>年未受过食品安全相关的行政处罚。</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52" w:type="dxa"/>
            <w:vMerge/>
            <w:vAlign w:val="center"/>
          </w:tcPr>
          <w:p w:rsidR="00F202AF" w:rsidRDefault="00F202AF" w:rsidP="00592EFB">
            <w:pPr>
              <w:pStyle w:val="a3"/>
              <w:ind w:firstLineChars="0" w:firstLine="0"/>
              <w:jc w:val="left"/>
              <w:rPr>
                <w:rFonts w:ascii="Times New Roman" w:eastAsia="仿宋_GB2312"/>
                <w:snapToGrid w:val="0"/>
                <w:kern w:val="0"/>
                <w:szCs w:val="21"/>
              </w:rPr>
            </w:pPr>
          </w:p>
        </w:tc>
        <w:tc>
          <w:tcPr>
            <w:tcW w:w="897" w:type="dxa"/>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F202AF" w:rsidTr="00592EFB">
        <w:trPr>
          <w:trHeight w:val="454"/>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tcBorders>
              <w:top w:val="single" w:sz="4" w:space="0" w:color="auto"/>
            </w:tcBorders>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3.</w:t>
            </w:r>
            <w:r>
              <w:rPr>
                <w:rFonts w:ascii="Times New Roman" w:eastAsia="仿宋_GB2312"/>
                <w:snapToGrid w:val="0"/>
                <w:kern w:val="0"/>
                <w:szCs w:val="21"/>
              </w:rPr>
              <w:t>配备有资质的专（兼）职营养指导人员。</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c>
          <w:tcPr>
            <w:tcW w:w="4252" w:type="dxa"/>
            <w:vMerge/>
            <w:vAlign w:val="center"/>
          </w:tcPr>
          <w:p w:rsidR="00F202AF" w:rsidRDefault="00F202AF" w:rsidP="00592EFB">
            <w:pPr>
              <w:pStyle w:val="a3"/>
              <w:ind w:firstLineChars="0" w:firstLine="0"/>
              <w:jc w:val="left"/>
              <w:rPr>
                <w:rFonts w:ascii="Times New Roman" w:eastAsia="仿宋_GB2312"/>
                <w:snapToGrid w:val="0"/>
                <w:kern w:val="0"/>
                <w:szCs w:val="21"/>
              </w:rPr>
            </w:pPr>
          </w:p>
        </w:tc>
        <w:tc>
          <w:tcPr>
            <w:tcW w:w="897" w:type="dxa"/>
            <w:tcBorders>
              <w:top w:val="single" w:sz="4" w:space="0" w:color="auto"/>
            </w:tcBorders>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必备项</w:t>
            </w:r>
          </w:p>
        </w:tc>
      </w:tr>
      <w:tr w:rsidR="00F202AF" w:rsidTr="00592EFB">
        <w:trPr>
          <w:trHeight w:val="1000"/>
          <w:jc w:val="center"/>
        </w:trPr>
        <w:tc>
          <w:tcPr>
            <w:tcW w:w="874" w:type="dxa"/>
            <w:vMerge w:val="restart"/>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t>组织</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管理</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20</w:t>
            </w:r>
            <w:r>
              <w:rPr>
                <w:rFonts w:ascii="Times New Roman" w:eastAsia="仿宋"/>
                <w:szCs w:val="21"/>
              </w:rPr>
              <w:t>分</w:t>
            </w:r>
          </w:p>
        </w:tc>
        <w:tc>
          <w:tcPr>
            <w:tcW w:w="7140" w:type="dxa"/>
            <w:vAlign w:val="center"/>
          </w:tcPr>
          <w:p w:rsidR="00F202AF" w:rsidRDefault="00F202AF" w:rsidP="00592EFB">
            <w:pPr>
              <w:rPr>
                <w:rFonts w:ascii="Times New Roman" w:eastAsia="仿宋_GB2312" w:hAnsi="Times New Roman"/>
                <w:snapToGrid w:val="0"/>
                <w:kern w:val="0"/>
                <w:szCs w:val="21"/>
              </w:rPr>
            </w:pPr>
            <w:r>
              <w:rPr>
                <w:rFonts w:ascii="Times New Roman" w:eastAsia="仿宋_GB2312" w:hAnsi="Times New Roman"/>
                <w:snapToGrid w:val="0"/>
                <w:kern w:val="0"/>
                <w:szCs w:val="21"/>
              </w:rPr>
              <w:t>4.</w:t>
            </w:r>
            <w:r>
              <w:rPr>
                <w:rFonts w:ascii="Times New Roman" w:eastAsia="仿宋_GB2312" w:hAnsi="Times New Roman"/>
                <w:snapToGrid w:val="0"/>
                <w:kern w:val="0"/>
                <w:szCs w:val="21"/>
              </w:rPr>
              <w:t>将营养健康餐厅建设列入管理目标，设立由餐厅负责人承担主体责任的营养健康餐厅建设工作组，编制和实施年度营养健康餐厅建设与运行计划，配备场地、设施、人员、技术、资金等支撑条件。</w:t>
            </w:r>
          </w:p>
        </w:tc>
        <w:tc>
          <w:tcPr>
            <w:tcW w:w="811" w:type="dxa"/>
            <w:vMerge w:val="restart"/>
            <w:vAlign w:val="center"/>
          </w:tcPr>
          <w:p w:rsidR="00F202AF" w:rsidRDefault="00F202AF" w:rsidP="00592EFB">
            <w:pPr>
              <w:jc w:val="center"/>
              <w:rPr>
                <w:rFonts w:ascii="Times New Roman" w:eastAsia="仿宋_GB2312" w:hAnsi="Times New Roman"/>
                <w:snapToGrid w:val="0"/>
                <w:kern w:val="0"/>
                <w:szCs w:val="21"/>
              </w:rPr>
            </w:pPr>
            <w:r>
              <w:rPr>
                <w:rFonts w:ascii="Times New Roman" w:eastAsia="仿宋_GB2312" w:hAnsi="Times New Roman"/>
                <w:snapToGrid w:val="0"/>
                <w:kern w:val="0"/>
                <w:szCs w:val="21"/>
              </w:rPr>
              <w:t>现场查看</w:t>
            </w:r>
          </w:p>
        </w:tc>
        <w:tc>
          <w:tcPr>
            <w:tcW w:w="921" w:type="dxa"/>
            <w:vAlign w:val="center"/>
          </w:tcPr>
          <w:p w:rsidR="00F202AF" w:rsidRDefault="00F202AF" w:rsidP="00592EFB">
            <w:pPr>
              <w:jc w:val="center"/>
              <w:rPr>
                <w:rFonts w:ascii="Times New Roman" w:eastAsia="仿宋_GB2312" w:hAnsi="Times New Roman"/>
                <w:snapToGrid w:val="0"/>
                <w:kern w:val="0"/>
                <w:szCs w:val="21"/>
              </w:rPr>
            </w:pPr>
            <w:r>
              <w:rPr>
                <w:rFonts w:ascii="Times New Roman" w:eastAsia="仿宋_GB2312" w:hAnsi="Times New Roman"/>
                <w:snapToGrid w:val="0"/>
                <w:kern w:val="0"/>
                <w:szCs w:val="21"/>
              </w:rPr>
              <w:t>10</w:t>
            </w:r>
          </w:p>
        </w:tc>
        <w:tc>
          <w:tcPr>
            <w:tcW w:w="4252" w:type="dxa"/>
            <w:vAlign w:val="center"/>
          </w:tcPr>
          <w:p w:rsidR="00F202AF" w:rsidRDefault="00F202AF" w:rsidP="00592EFB">
            <w:pPr>
              <w:rPr>
                <w:rFonts w:ascii="Times New Roman" w:eastAsia="仿宋_GB2312" w:hAnsi="Times New Roman"/>
                <w:snapToGrid w:val="0"/>
                <w:kern w:val="0"/>
                <w:szCs w:val="21"/>
              </w:rPr>
            </w:pPr>
            <w:r>
              <w:rPr>
                <w:rFonts w:ascii="Times New Roman" w:eastAsia="仿宋_GB2312" w:hAnsi="Times New Roman"/>
                <w:snapToGrid w:val="0"/>
                <w:kern w:val="0"/>
                <w:szCs w:val="21"/>
              </w:rPr>
              <w:t>列入管理目标，得</w:t>
            </w:r>
            <w:r>
              <w:rPr>
                <w:rFonts w:ascii="Times New Roman" w:eastAsia="仿宋_GB2312" w:hAnsi="Times New Roman"/>
                <w:snapToGrid w:val="0"/>
                <w:kern w:val="0"/>
                <w:szCs w:val="21"/>
              </w:rPr>
              <w:t>2</w:t>
            </w:r>
            <w:r>
              <w:rPr>
                <w:rFonts w:ascii="Times New Roman" w:eastAsia="仿宋_GB2312" w:hAnsi="Times New Roman"/>
                <w:snapToGrid w:val="0"/>
                <w:kern w:val="0"/>
                <w:szCs w:val="21"/>
              </w:rPr>
              <w:t>分</w:t>
            </w:r>
          </w:p>
          <w:p w:rsidR="00F202AF" w:rsidRDefault="00F202AF" w:rsidP="00592EFB">
            <w:pPr>
              <w:rPr>
                <w:rFonts w:ascii="Times New Roman" w:eastAsia="仿宋_GB2312" w:hAnsi="Times New Roman"/>
                <w:snapToGrid w:val="0"/>
                <w:kern w:val="0"/>
                <w:szCs w:val="21"/>
              </w:rPr>
            </w:pPr>
            <w:r>
              <w:rPr>
                <w:rFonts w:ascii="Times New Roman" w:eastAsia="仿宋_GB2312" w:hAnsi="Times New Roman"/>
                <w:snapToGrid w:val="0"/>
                <w:kern w:val="0"/>
                <w:szCs w:val="21"/>
              </w:rPr>
              <w:t>有组织架构文件或网络图，得</w:t>
            </w:r>
            <w:r>
              <w:rPr>
                <w:rFonts w:ascii="Times New Roman" w:eastAsia="仿宋_GB2312" w:hAnsi="Times New Roman"/>
                <w:snapToGrid w:val="0"/>
                <w:kern w:val="0"/>
                <w:szCs w:val="21"/>
              </w:rPr>
              <w:t>2</w:t>
            </w:r>
            <w:r>
              <w:rPr>
                <w:rFonts w:ascii="Times New Roman" w:eastAsia="仿宋_GB2312" w:hAnsi="Times New Roman"/>
                <w:snapToGrid w:val="0"/>
                <w:kern w:val="0"/>
                <w:szCs w:val="21"/>
              </w:rPr>
              <w:t>分</w:t>
            </w:r>
          </w:p>
          <w:p w:rsidR="00F202AF" w:rsidRDefault="00F202AF" w:rsidP="00592EFB">
            <w:pPr>
              <w:rPr>
                <w:rFonts w:ascii="Times New Roman" w:eastAsia="仿宋_GB2312" w:hAnsi="Times New Roman"/>
                <w:snapToGrid w:val="0"/>
                <w:kern w:val="0"/>
                <w:szCs w:val="21"/>
              </w:rPr>
            </w:pPr>
            <w:r>
              <w:rPr>
                <w:rFonts w:ascii="Times New Roman" w:eastAsia="仿宋_GB2312" w:hAnsi="Times New Roman"/>
                <w:snapToGrid w:val="0"/>
                <w:kern w:val="0"/>
                <w:szCs w:val="21"/>
              </w:rPr>
              <w:t>分工及责任人明确，得</w:t>
            </w:r>
            <w:r>
              <w:rPr>
                <w:rFonts w:ascii="Times New Roman" w:eastAsia="仿宋_GB2312" w:hAnsi="Times New Roman"/>
                <w:snapToGrid w:val="0"/>
                <w:kern w:val="0"/>
                <w:szCs w:val="21"/>
              </w:rPr>
              <w:t>3</w:t>
            </w:r>
            <w:r>
              <w:rPr>
                <w:rFonts w:ascii="Times New Roman" w:eastAsia="仿宋_GB2312" w:hAnsi="Times New Roman"/>
                <w:snapToGrid w:val="0"/>
                <w:kern w:val="0"/>
                <w:szCs w:val="21"/>
              </w:rPr>
              <w:t>分</w:t>
            </w:r>
          </w:p>
          <w:p w:rsidR="00F202AF" w:rsidRDefault="00F202AF" w:rsidP="00592EFB">
            <w:pPr>
              <w:rPr>
                <w:rFonts w:ascii="Times New Roman" w:eastAsia="仿宋_GB2312" w:hAnsi="Times New Roman"/>
                <w:snapToGrid w:val="0"/>
                <w:kern w:val="0"/>
                <w:szCs w:val="21"/>
              </w:rPr>
            </w:pPr>
            <w:r>
              <w:rPr>
                <w:rFonts w:ascii="Times New Roman" w:eastAsia="仿宋_GB2312" w:hAnsi="Times New Roman"/>
                <w:snapToGrid w:val="0"/>
                <w:kern w:val="0"/>
                <w:szCs w:val="21"/>
              </w:rPr>
              <w:t>支持措施完备，得</w:t>
            </w:r>
            <w:r>
              <w:rPr>
                <w:rFonts w:ascii="Times New Roman" w:eastAsia="仿宋_GB2312" w:hAnsi="Times New Roman"/>
                <w:snapToGrid w:val="0"/>
                <w:kern w:val="0"/>
                <w:szCs w:val="21"/>
              </w:rPr>
              <w:t>3</w:t>
            </w:r>
            <w:r>
              <w:rPr>
                <w:rFonts w:ascii="Times New Roman" w:eastAsia="仿宋_GB2312" w:hAnsi="Times New Roman"/>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jc w:val="center"/>
        </w:trPr>
        <w:tc>
          <w:tcPr>
            <w:tcW w:w="874" w:type="dxa"/>
            <w:vMerge/>
            <w:vAlign w:val="center"/>
          </w:tcPr>
          <w:p w:rsidR="00F202AF" w:rsidRDefault="00F202AF" w:rsidP="00592EFB">
            <w:pPr>
              <w:widowControl/>
              <w:jc w:val="left"/>
              <w:rPr>
                <w:rFonts w:ascii="Times New Roman" w:eastAsia="仿宋" w:hAnsi="Times New Roman"/>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5.</w:t>
            </w:r>
            <w:r>
              <w:rPr>
                <w:rFonts w:ascii="Times New Roman" w:eastAsia="仿宋_GB2312"/>
                <w:snapToGrid w:val="0"/>
                <w:kern w:val="0"/>
                <w:szCs w:val="21"/>
              </w:rPr>
              <w:t>制定建设和运行营养健康餐厅所需的组织管理细则、各类岗位责任制度、</w:t>
            </w:r>
            <w:r>
              <w:rPr>
                <w:rFonts w:ascii="Times New Roman" w:eastAsia="仿宋_GB2312"/>
                <w:snapToGrid w:val="0"/>
                <w:kern w:val="0"/>
                <w:szCs w:val="21"/>
              </w:rPr>
              <w:lastRenderedPageBreak/>
              <w:t>监督管理制度等。</w:t>
            </w:r>
            <w:proofErr w:type="gramStart"/>
            <w:r>
              <w:rPr>
                <w:rFonts w:ascii="Times New Roman" w:eastAsia="仿宋_GB2312"/>
                <w:snapToGrid w:val="0"/>
                <w:kern w:val="0"/>
                <w:szCs w:val="21"/>
              </w:rPr>
              <w:t>食材原料</w:t>
            </w:r>
            <w:proofErr w:type="gramEnd"/>
            <w:r>
              <w:rPr>
                <w:rFonts w:ascii="Times New Roman" w:eastAsia="仿宋_GB2312"/>
                <w:snapToGrid w:val="0"/>
                <w:kern w:val="0"/>
                <w:szCs w:val="21"/>
              </w:rPr>
              <w:t>采购记录完善，保障餐厅所用食材种类丰富、新鲜，减少腌制、腊制及动物油脂</w:t>
            </w:r>
            <w:proofErr w:type="gramStart"/>
            <w:r>
              <w:rPr>
                <w:rFonts w:ascii="Times New Roman" w:eastAsia="仿宋_GB2312"/>
                <w:snapToGrid w:val="0"/>
                <w:kern w:val="0"/>
                <w:szCs w:val="21"/>
              </w:rPr>
              <w:t>类食材</w:t>
            </w:r>
            <w:proofErr w:type="gramEnd"/>
            <w:r>
              <w:rPr>
                <w:rFonts w:ascii="Times New Roman" w:eastAsia="仿宋_GB2312"/>
                <w:snapToGrid w:val="0"/>
                <w:kern w:val="0"/>
                <w:szCs w:val="21"/>
              </w:rPr>
              <w:t>的使用。</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有管理细则，得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lastRenderedPageBreak/>
              <w:t>有岗位责任制度，得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有监督管理制度，得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有原材料采购记录，得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菜单中不提供或少量提供使用腌制、腊制及动物油脂</w:t>
            </w:r>
            <w:proofErr w:type="gramStart"/>
            <w:r>
              <w:rPr>
                <w:rFonts w:ascii="Times New Roman" w:eastAsia="仿宋_GB2312"/>
                <w:snapToGrid w:val="0"/>
                <w:kern w:val="0"/>
                <w:szCs w:val="21"/>
              </w:rPr>
              <w:t>类食材</w:t>
            </w:r>
            <w:proofErr w:type="gramEnd"/>
            <w:r>
              <w:rPr>
                <w:rFonts w:ascii="Times New Roman" w:eastAsia="仿宋_GB2312"/>
                <w:snapToGrid w:val="0"/>
                <w:kern w:val="0"/>
                <w:szCs w:val="21"/>
              </w:rPr>
              <w:t>的菜品，得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jc w:val="center"/>
        </w:trPr>
        <w:tc>
          <w:tcPr>
            <w:tcW w:w="874" w:type="dxa"/>
            <w:vMerge w:val="restart"/>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lastRenderedPageBreak/>
              <w:t>营造</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营养</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健康</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环境</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15</w:t>
            </w:r>
            <w:r>
              <w:rPr>
                <w:rFonts w:ascii="Times New Roman" w:eastAsia="仿宋"/>
                <w:szCs w:val="21"/>
              </w:rPr>
              <w:t>分</w:t>
            </w: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6.</w:t>
            </w:r>
            <w:r>
              <w:rPr>
                <w:rFonts w:ascii="Times New Roman" w:eastAsia="仿宋_GB2312"/>
                <w:snapToGrid w:val="0"/>
                <w:kern w:val="0"/>
                <w:szCs w:val="21"/>
              </w:rPr>
              <w:t>充分利用菜单、餐具包装、订餐卡等宣传营养健康、传染病防控和文明用餐等知识。在就餐场所摆放、张贴或滚动播放《中国居民膳食指南》和中国居民平衡膳食宝塔等营养膳食指导相关宣传资料，并适时更新。</w:t>
            </w:r>
          </w:p>
        </w:tc>
        <w:tc>
          <w:tcPr>
            <w:tcW w:w="811" w:type="dxa"/>
            <w:vMerge w:val="restart"/>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现场查看</w:t>
            </w: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8</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在菜单上宣传营养健康等知识，得</w:t>
            </w:r>
            <w:r>
              <w:rPr>
                <w:rFonts w:ascii="Times New Roman" w:eastAsia="仿宋_GB2312"/>
                <w:snapToGrid w:val="0"/>
                <w:kern w:val="0"/>
                <w:szCs w:val="21"/>
              </w:rPr>
              <w:t>1</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在餐具包装上宣传营养健康等知识，得</w:t>
            </w:r>
            <w:r>
              <w:rPr>
                <w:rFonts w:ascii="Times New Roman" w:eastAsia="仿宋_GB2312"/>
                <w:snapToGrid w:val="0"/>
                <w:kern w:val="0"/>
                <w:szCs w:val="21"/>
              </w:rPr>
              <w:t>1</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在订餐卡上宣传营养健康等知识，得</w:t>
            </w:r>
            <w:r>
              <w:rPr>
                <w:rFonts w:ascii="Times New Roman" w:eastAsia="仿宋_GB2312"/>
                <w:snapToGrid w:val="0"/>
                <w:kern w:val="0"/>
                <w:szCs w:val="21"/>
              </w:rPr>
              <w:t>1</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在就餐场所摆放、张贴或滚动播放《中国居民膳食指南》折页和中国居民平衡膳食宝塔等膳食营养宣传资料，得</w:t>
            </w:r>
            <w:r>
              <w:rPr>
                <w:rFonts w:ascii="Times New Roman" w:eastAsia="仿宋_GB2312"/>
                <w:snapToGrid w:val="0"/>
                <w:kern w:val="0"/>
                <w:szCs w:val="21"/>
              </w:rPr>
              <w:t>4</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内容及时更新，得</w:t>
            </w:r>
            <w:r>
              <w:rPr>
                <w:rFonts w:ascii="Times New Roman" w:eastAsia="仿宋_GB2312"/>
                <w:snapToGrid w:val="0"/>
                <w:kern w:val="0"/>
                <w:szCs w:val="21"/>
              </w:rPr>
              <w:t>1</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7.</w:t>
            </w:r>
            <w:r>
              <w:rPr>
                <w:rFonts w:ascii="Times New Roman" w:eastAsia="仿宋_GB2312"/>
                <w:snapToGrid w:val="0"/>
                <w:kern w:val="0"/>
                <w:szCs w:val="21"/>
              </w:rPr>
              <w:t>每年至少开展</w:t>
            </w:r>
            <w:r>
              <w:rPr>
                <w:rFonts w:ascii="Times New Roman" w:eastAsia="仿宋_GB2312"/>
                <w:snapToGrid w:val="0"/>
                <w:kern w:val="0"/>
                <w:szCs w:val="21"/>
              </w:rPr>
              <w:t>2</w:t>
            </w:r>
            <w:r>
              <w:rPr>
                <w:rFonts w:ascii="Times New Roman" w:eastAsia="仿宋_GB2312"/>
                <w:snapToGrid w:val="0"/>
                <w:kern w:val="0"/>
                <w:szCs w:val="21"/>
              </w:rPr>
              <w:t>次营养健康主题科普宣教活动，至少</w:t>
            </w:r>
            <w:r>
              <w:rPr>
                <w:rFonts w:ascii="Times New Roman" w:eastAsia="仿宋_GB2312"/>
                <w:snapToGrid w:val="0"/>
                <w:kern w:val="0"/>
                <w:szCs w:val="21"/>
              </w:rPr>
              <w:t>1</w:t>
            </w:r>
            <w:r>
              <w:rPr>
                <w:rFonts w:ascii="Times New Roman" w:eastAsia="仿宋_GB2312"/>
                <w:snapToGrid w:val="0"/>
                <w:kern w:val="0"/>
                <w:szCs w:val="21"/>
              </w:rPr>
              <w:t>次包含消费者参加。</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5</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每年开展</w:t>
            </w:r>
            <w:r>
              <w:rPr>
                <w:rFonts w:ascii="Times New Roman" w:eastAsia="仿宋_GB2312"/>
                <w:snapToGrid w:val="0"/>
                <w:kern w:val="0"/>
                <w:szCs w:val="21"/>
              </w:rPr>
              <w:t>2</w:t>
            </w:r>
            <w:r>
              <w:rPr>
                <w:rFonts w:ascii="Times New Roman" w:eastAsia="仿宋_GB2312"/>
                <w:snapToGrid w:val="0"/>
                <w:kern w:val="0"/>
                <w:szCs w:val="21"/>
              </w:rPr>
              <w:t>次及以上宣教活动，得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包含</w:t>
            </w:r>
            <w:r>
              <w:rPr>
                <w:rFonts w:ascii="Times New Roman" w:eastAsia="仿宋_GB2312"/>
                <w:snapToGrid w:val="0"/>
                <w:kern w:val="0"/>
                <w:szCs w:val="21"/>
              </w:rPr>
              <w:t>1</w:t>
            </w:r>
            <w:r>
              <w:rPr>
                <w:rFonts w:ascii="Times New Roman" w:eastAsia="仿宋_GB2312"/>
                <w:snapToGrid w:val="0"/>
                <w:kern w:val="0"/>
                <w:szCs w:val="21"/>
              </w:rPr>
              <w:t>次及以上面向消费者的宣教活动，得</w:t>
            </w:r>
            <w:r>
              <w:rPr>
                <w:rFonts w:ascii="Times New Roman" w:eastAsia="仿宋_GB2312"/>
                <w:snapToGrid w:val="0"/>
                <w:kern w:val="0"/>
                <w:szCs w:val="21"/>
              </w:rPr>
              <w:t>3</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737"/>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8.</w:t>
            </w:r>
            <w:r>
              <w:rPr>
                <w:rFonts w:ascii="Times New Roman" w:eastAsia="仿宋_GB2312"/>
                <w:snapToGrid w:val="0"/>
                <w:kern w:val="0"/>
                <w:szCs w:val="21"/>
              </w:rPr>
              <w:t>设立意见簿、意见箱或其他方式，征求用餐人员关于营养健康的意见、建议。</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收集营养健康相关意见建议，得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020"/>
          <w:jc w:val="center"/>
        </w:trPr>
        <w:tc>
          <w:tcPr>
            <w:tcW w:w="874" w:type="dxa"/>
            <w:vMerge w:val="restart"/>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t>烹饪</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配餐</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40</w:t>
            </w:r>
            <w:r>
              <w:rPr>
                <w:rFonts w:ascii="Times New Roman" w:eastAsia="仿宋"/>
                <w:szCs w:val="21"/>
              </w:rPr>
              <w:t>分</w:t>
            </w: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9.</w:t>
            </w:r>
            <w:r>
              <w:rPr>
                <w:rFonts w:ascii="Times New Roman" w:eastAsia="仿宋_GB2312"/>
                <w:snapToGrid w:val="0"/>
                <w:kern w:val="0"/>
                <w:szCs w:val="21"/>
              </w:rPr>
              <w:t>按照《餐饮食品营养标识指南》对所提供的餐饮食品进行营养标示；对所提供的自制饮料或甜品，应进行添加糖含量标示。</w:t>
            </w:r>
          </w:p>
        </w:tc>
        <w:tc>
          <w:tcPr>
            <w:tcW w:w="811" w:type="dxa"/>
            <w:vMerge w:val="restart"/>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现场查看</w:t>
            </w: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6</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提供的餐饮食品有营养标示，得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营养标示规范，得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自制饮料或甜品有添加糖含量标示，得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488"/>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10.</w:t>
            </w:r>
            <w:r>
              <w:rPr>
                <w:rFonts w:ascii="Times New Roman" w:eastAsia="仿宋_GB2312"/>
                <w:snapToGrid w:val="0"/>
                <w:kern w:val="0"/>
                <w:szCs w:val="21"/>
              </w:rPr>
              <w:t>鼓励采用减少营养成分损失和保持自然风味的食物烹饪方法，在保持菜品风味特色的基础上尽量减少油、盐、糖</w:t>
            </w:r>
            <w:r>
              <w:rPr>
                <w:rFonts w:ascii="Times New Roman" w:eastAsia="仿宋_GB2312"/>
                <w:snapToGrid w:val="0"/>
                <w:kern w:val="0"/>
                <w:szCs w:val="21"/>
              </w:rPr>
              <w:t>(</w:t>
            </w:r>
            <w:r>
              <w:rPr>
                <w:rFonts w:ascii="Times New Roman" w:eastAsia="仿宋_GB2312"/>
                <w:snapToGrid w:val="0"/>
                <w:kern w:val="0"/>
                <w:szCs w:val="21"/>
              </w:rPr>
              <w:t>包括含油盐糖的各种调味品</w:t>
            </w:r>
            <w:r>
              <w:rPr>
                <w:rFonts w:ascii="Times New Roman" w:eastAsia="仿宋_GB2312"/>
                <w:snapToGrid w:val="0"/>
                <w:kern w:val="0"/>
                <w:szCs w:val="21"/>
              </w:rPr>
              <w:t>)</w:t>
            </w:r>
            <w:r>
              <w:rPr>
                <w:rFonts w:ascii="Times New Roman" w:eastAsia="仿宋_GB2312"/>
                <w:snapToGrid w:val="0"/>
                <w:kern w:val="0"/>
                <w:szCs w:val="21"/>
              </w:rPr>
              <w:t>的用量。餐厅场所开展油盐糖摄入超量的健康风险提示。</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根据餐厅业态，在原有菜品基础上，油盐糖用量减少的同类菜品每多一类，得</w:t>
            </w:r>
            <w:r>
              <w:rPr>
                <w:rFonts w:ascii="Times New Roman" w:eastAsia="仿宋_GB2312"/>
                <w:snapToGrid w:val="0"/>
                <w:kern w:val="0"/>
                <w:szCs w:val="21"/>
              </w:rPr>
              <w:t>2</w:t>
            </w:r>
            <w:r>
              <w:rPr>
                <w:rFonts w:ascii="Times New Roman" w:eastAsia="仿宋_GB2312"/>
                <w:snapToGrid w:val="0"/>
                <w:kern w:val="0"/>
                <w:szCs w:val="21"/>
              </w:rPr>
              <w:t>分，此项得分不超过</w:t>
            </w:r>
            <w:r>
              <w:rPr>
                <w:rFonts w:ascii="Times New Roman" w:eastAsia="仿宋_GB2312"/>
                <w:snapToGrid w:val="0"/>
                <w:kern w:val="0"/>
                <w:szCs w:val="21"/>
              </w:rPr>
              <w:t>6</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新菜品消费频率靠前每多一类，得</w:t>
            </w:r>
            <w:r>
              <w:rPr>
                <w:rFonts w:ascii="Times New Roman" w:eastAsia="仿宋_GB2312"/>
                <w:snapToGrid w:val="0"/>
                <w:kern w:val="0"/>
                <w:szCs w:val="21"/>
              </w:rPr>
              <w:t>1</w:t>
            </w:r>
            <w:r>
              <w:rPr>
                <w:rFonts w:ascii="Times New Roman" w:eastAsia="仿宋_GB2312"/>
                <w:snapToGrid w:val="0"/>
                <w:kern w:val="0"/>
                <w:szCs w:val="21"/>
              </w:rPr>
              <w:t>分，此项得分不超过</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餐厅醒目位置有油盐糖摄入超量相关风险提示宣传，得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587"/>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11.</w:t>
            </w:r>
            <w:r>
              <w:rPr>
                <w:rFonts w:ascii="Times New Roman" w:eastAsia="仿宋_GB2312"/>
                <w:snapToGrid w:val="0"/>
                <w:kern w:val="0"/>
                <w:szCs w:val="21"/>
              </w:rPr>
              <w:t>服务员能引导消费者</w:t>
            </w:r>
            <w:proofErr w:type="gramStart"/>
            <w:r>
              <w:rPr>
                <w:rFonts w:ascii="Times New Roman" w:eastAsia="仿宋_GB2312"/>
                <w:snapToGrid w:val="0"/>
                <w:kern w:val="0"/>
                <w:szCs w:val="21"/>
              </w:rPr>
              <w:t>合理点</w:t>
            </w:r>
            <w:proofErr w:type="gramEnd"/>
            <w:r>
              <w:rPr>
                <w:rFonts w:ascii="Times New Roman" w:eastAsia="仿宋_GB2312"/>
                <w:snapToGrid w:val="0"/>
                <w:kern w:val="0"/>
                <w:szCs w:val="21"/>
              </w:rPr>
              <w:t>餐，主动介绍菜品营养特点，推荐低盐、低脂、低糖菜品。倡导实施光盘行动，主动防范和抵制食物浪费，提供免费打包盒、小份或半份菜品、经济型套餐等措施予以落实。</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10</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能引导消费者</w:t>
            </w:r>
            <w:proofErr w:type="gramStart"/>
            <w:r>
              <w:rPr>
                <w:rFonts w:ascii="Times New Roman" w:eastAsia="仿宋_GB2312"/>
                <w:snapToGrid w:val="0"/>
                <w:kern w:val="0"/>
                <w:szCs w:val="21"/>
              </w:rPr>
              <w:t>合理点</w:t>
            </w:r>
            <w:proofErr w:type="gramEnd"/>
            <w:r>
              <w:rPr>
                <w:rFonts w:ascii="Times New Roman" w:eastAsia="仿宋_GB2312"/>
                <w:snapToGrid w:val="0"/>
                <w:kern w:val="0"/>
                <w:szCs w:val="21"/>
              </w:rPr>
              <w:t>餐，得</w:t>
            </w:r>
            <w:r>
              <w:rPr>
                <w:rFonts w:ascii="Times New Roman" w:eastAsia="仿宋_GB2312"/>
                <w:snapToGrid w:val="0"/>
                <w:kern w:val="0"/>
                <w:szCs w:val="21"/>
              </w:rPr>
              <w:t>3</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能介绍菜品营养特点，得</w:t>
            </w:r>
            <w:r>
              <w:rPr>
                <w:rFonts w:ascii="Times New Roman" w:eastAsia="仿宋_GB2312"/>
                <w:snapToGrid w:val="0"/>
                <w:kern w:val="0"/>
                <w:szCs w:val="21"/>
              </w:rPr>
              <w:t>3</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有光盘行动宣传，得</w:t>
            </w:r>
            <w:r>
              <w:rPr>
                <w:rFonts w:ascii="Times New Roman" w:eastAsia="仿宋_GB2312"/>
                <w:snapToGrid w:val="0"/>
                <w:kern w:val="0"/>
                <w:szCs w:val="21"/>
              </w:rPr>
              <w:t>1</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有光盘行动举措，每项得</w:t>
            </w:r>
            <w:r>
              <w:rPr>
                <w:rFonts w:ascii="Times New Roman" w:eastAsia="仿宋_GB2312"/>
                <w:snapToGrid w:val="0"/>
                <w:kern w:val="0"/>
                <w:szCs w:val="21"/>
              </w:rPr>
              <w:t>1</w:t>
            </w:r>
            <w:r>
              <w:rPr>
                <w:rFonts w:ascii="Times New Roman" w:eastAsia="仿宋_GB2312"/>
                <w:snapToGrid w:val="0"/>
                <w:kern w:val="0"/>
                <w:szCs w:val="21"/>
              </w:rPr>
              <w:t>分，此项得分不超过</w:t>
            </w:r>
            <w:r>
              <w:rPr>
                <w:rFonts w:ascii="Times New Roman" w:eastAsia="仿宋_GB2312"/>
                <w:snapToGrid w:val="0"/>
                <w:kern w:val="0"/>
                <w:szCs w:val="21"/>
              </w:rPr>
              <w:t>3</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077"/>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12.</w:t>
            </w:r>
            <w:r>
              <w:rPr>
                <w:rFonts w:ascii="Times New Roman" w:eastAsia="仿宋_GB2312"/>
                <w:snapToGrid w:val="0"/>
                <w:kern w:val="0"/>
                <w:szCs w:val="21"/>
              </w:rPr>
              <w:t>自助式餐厅用餐人员应一人一份（套）餐具，一人一份（套）饭菜，一人一份（套）饮品，独立用餐。桌餐共餐的餐厅在每道菜品器皿内配备公勺</w:t>
            </w:r>
            <w:proofErr w:type="gramStart"/>
            <w:r>
              <w:rPr>
                <w:rFonts w:ascii="Times New Roman" w:eastAsia="仿宋_GB2312"/>
                <w:snapToGrid w:val="0"/>
                <w:kern w:val="0"/>
                <w:szCs w:val="21"/>
              </w:rPr>
              <w:t>或公夹或</w:t>
            </w:r>
            <w:proofErr w:type="gramEnd"/>
            <w:r>
              <w:rPr>
                <w:rFonts w:ascii="Times New Roman" w:eastAsia="仿宋_GB2312"/>
                <w:snapToGrid w:val="0"/>
                <w:kern w:val="0"/>
                <w:szCs w:val="21"/>
              </w:rPr>
              <w:t>为每名顾客提供公勺公筷。</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2</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自助餐厅在就餐场所醒目位置摆放就餐用具并明示取餐流程，得</w:t>
            </w:r>
            <w:r>
              <w:rPr>
                <w:rFonts w:ascii="Times New Roman" w:eastAsia="仿宋_GB2312" w:hint="eastAsia"/>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桌餐服务餐厅在餐桌上摆放公筷、公勺等分餐工具</w:t>
            </w:r>
            <w:r>
              <w:rPr>
                <w:rFonts w:ascii="Times New Roman" w:eastAsia="仿宋_GB2312" w:hint="eastAsia"/>
                <w:snapToGrid w:val="0"/>
                <w:kern w:val="0"/>
                <w:szCs w:val="21"/>
              </w:rPr>
              <w:t>，</w:t>
            </w:r>
            <w:r>
              <w:rPr>
                <w:rFonts w:ascii="Times New Roman" w:eastAsia="仿宋_GB2312"/>
                <w:snapToGrid w:val="0"/>
                <w:kern w:val="0"/>
                <w:szCs w:val="21"/>
              </w:rPr>
              <w:t>得</w:t>
            </w:r>
            <w:r>
              <w:rPr>
                <w:rFonts w:ascii="Times New Roman" w:eastAsia="仿宋_GB2312" w:hint="eastAsia"/>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304"/>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13.</w:t>
            </w:r>
            <w:r>
              <w:rPr>
                <w:rFonts w:ascii="Times New Roman" w:eastAsia="仿宋_GB2312"/>
                <w:snapToGrid w:val="0"/>
                <w:kern w:val="0"/>
                <w:szCs w:val="21"/>
              </w:rPr>
              <w:t>菜单中提供全谷物、奶类、新鲜水果、低糖或无糖饮料等</w:t>
            </w:r>
            <w:proofErr w:type="gramStart"/>
            <w:r>
              <w:rPr>
                <w:rFonts w:ascii="Times New Roman" w:eastAsia="仿宋_GB2312"/>
                <w:snapToGrid w:val="0"/>
                <w:kern w:val="0"/>
                <w:szCs w:val="21"/>
              </w:rPr>
              <w:t>供消</w:t>
            </w:r>
            <w:proofErr w:type="gramEnd"/>
            <w:r>
              <w:rPr>
                <w:rFonts w:ascii="Times New Roman" w:eastAsia="仿宋_GB2312"/>
                <w:snapToGrid w:val="0"/>
                <w:kern w:val="0"/>
                <w:szCs w:val="21"/>
              </w:rPr>
              <w:t>费者选择，推出适合老年人、儿童、肥胖者、高血压、糖尿病等特殊人群的菜品，禁止非法食用、交易野生动物，落实卫生防疫相关规定和要求。</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6</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菜单中有全谷物、奶类、新鲜水果、低糖或无糖饮料等</w:t>
            </w:r>
            <w:proofErr w:type="gramStart"/>
            <w:r>
              <w:rPr>
                <w:rFonts w:ascii="Times New Roman" w:eastAsia="仿宋_GB2312"/>
                <w:snapToGrid w:val="0"/>
                <w:kern w:val="0"/>
                <w:szCs w:val="21"/>
              </w:rPr>
              <w:t>按供应</w:t>
            </w:r>
            <w:proofErr w:type="gramEnd"/>
            <w:r>
              <w:rPr>
                <w:rFonts w:ascii="Times New Roman" w:eastAsia="仿宋_GB2312"/>
                <w:snapToGrid w:val="0"/>
                <w:kern w:val="0"/>
                <w:szCs w:val="21"/>
              </w:rPr>
              <w:t>比例，得</w:t>
            </w:r>
            <w:r>
              <w:rPr>
                <w:rFonts w:ascii="Times New Roman" w:eastAsia="仿宋_GB2312"/>
                <w:snapToGrid w:val="0"/>
                <w:kern w:val="0"/>
                <w:szCs w:val="21"/>
              </w:rPr>
              <w:t>1-3</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菜单中有针对特殊人群的菜品，得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无野生动物食品供应，得</w:t>
            </w:r>
            <w:r>
              <w:rPr>
                <w:rFonts w:ascii="Times New Roman" w:eastAsia="仿宋_GB2312"/>
                <w:snapToGrid w:val="0"/>
                <w:kern w:val="0"/>
                <w:szCs w:val="21"/>
              </w:rPr>
              <w:t>1</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680"/>
          <w:jc w:val="center"/>
        </w:trPr>
        <w:tc>
          <w:tcPr>
            <w:tcW w:w="874" w:type="dxa"/>
            <w:vMerge/>
            <w:vAlign w:val="center"/>
          </w:tcPr>
          <w:p w:rsidR="00F202AF" w:rsidRDefault="00F202AF" w:rsidP="00592EFB">
            <w:pPr>
              <w:pStyle w:val="a3"/>
              <w:ind w:firstLineChars="0" w:firstLine="0"/>
              <w:jc w:val="left"/>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14.</w:t>
            </w:r>
            <w:r>
              <w:rPr>
                <w:rFonts w:ascii="Times New Roman" w:eastAsia="仿宋_GB2312"/>
                <w:snapToGrid w:val="0"/>
                <w:kern w:val="0"/>
                <w:szCs w:val="21"/>
              </w:rPr>
              <w:t>提供免费白开水或直饮水；配备洗手、消毒设备或用品；座位间保持一定距离，避免高密度聚集用餐。</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6</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每符合一条，得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680"/>
          <w:jc w:val="center"/>
        </w:trPr>
        <w:tc>
          <w:tcPr>
            <w:tcW w:w="874" w:type="dxa"/>
            <w:vMerge w:val="restart"/>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t>人员</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要求</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15</w:t>
            </w:r>
            <w:r>
              <w:rPr>
                <w:rFonts w:ascii="Times New Roman" w:eastAsia="仿宋"/>
                <w:szCs w:val="21"/>
              </w:rPr>
              <w:t>分</w:t>
            </w: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15.</w:t>
            </w:r>
            <w:r>
              <w:rPr>
                <w:rFonts w:ascii="Times New Roman" w:eastAsia="仿宋_GB2312"/>
                <w:snapToGrid w:val="0"/>
                <w:kern w:val="0"/>
                <w:szCs w:val="21"/>
              </w:rPr>
              <w:t>营养师</w:t>
            </w:r>
            <w:r>
              <w:rPr>
                <w:rFonts w:ascii="Times New Roman" w:eastAsia="仿宋_GB2312"/>
                <w:snapToGrid w:val="0"/>
                <w:kern w:val="0"/>
                <w:szCs w:val="21"/>
              </w:rPr>
              <w:t>/</w:t>
            </w:r>
            <w:r>
              <w:rPr>
                <w:rFonts w:ascii="Times New Roman" w:eastAsia="仿宋_GB2312"/>
                <w:snapToGrid w:val="0"/>
                <w:kern w:val="0"/>
                <w:szCs w:val="21"/>
              </w:rPr>
              <w:t>营养指导员应提供营养配餐服务，制定菜单和菜品制作标准。</w:t>
            </w:r>
          </w:p>
        </w:tc>
        <w:tc>
          <w:tcPr>
            <w:tcW w:w="811" w:type="dxa"/>
            <w:vMerge w:val="restart"/>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现场询问，查看资料</w:t>
            </w: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4</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由营养师</w:t>
            </w:r>
            <w:r>
              <w:rPr>
                <w:rFonts w:ascii="Times New Roman" w:eastAsia="仿宋_GB2312"/>
                <w:snapToGrid w:val="0"/>
                <w:kern w:val="0"/>
                <w:szCs w:val="21"/>
              </w:rPr>
              <w:t>/</w:t>
            </w:r>
            <w:r>
              <w:rPr>
                <w:rFonts w:ascii="Times New Roman" w:eastAsia="仿宋_GB2312"/>
                <w:snapToGrid w:val="0"/>
                <w:kern w:val="0"/>
                <w:szCs w:val="21"/>
              </w:rPr>
              <w:t>营养指导员指导制定菜单和菜品制作标准，得</w:t>
            </w:r>
            <w:r>
              <w:rPr>
                <w:rFonts w:ascii="Times New Roman" w:eastAsia="仿宋_GB2312"/>
                <w:snapToGrid w:val="0"/>
                <w:kern w:val="0"/>
                <w:szCs w:val="21"/>
              </w:rPr>
              <w:t>4</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417"/>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16.</w:t>
            </w:r>
            <w:r>
              <w:rPr>
                <w:rFonts w:ascii="Times New Roman" w:eastAsia="仿宋_GB2312"/>
                <w:snapToGrid w:val="0"/>
                <w:kern w:val="0"/>
                <w:szCs w:val="21"/>
              </w:rPr>
              <w:t>营养师</w:t>
            </w:r>
            <w:r>
              <w:rPr>
                <w:rFonts w:ascii="Times New Roman" w:eastAsia="仿宋_GB2312"/>
                <w:snapToGrid w:val="0"/>
                <w:kern w:val="0"/>
                <w:szCs w:val="21"/>
              </w:rPr>
              <w:t>/</w:t>
            </w:r>
            <w:r>
              <w:rPr>
                <w:rFonts w:ascii="Times New Roman" w:eastAsia="仿宋_GB2312"/>
                <w:snapToGrid w:val="0"/>
                <w:kern w:val="0"/>
                <w:szCs w:val="21"/>
              </w:rPr>
              <w:t>营养指导员每年应接受不少于</w:t>
            </w:r>
            <w:r>
              <w:rPr>
                <w:rFonts w:ascii="Times New Roman" w:eastAsia="仿宋_GB2312"/>
                <w:snapToGrid w:val="0"/>
                <w:kern w:val="0"/>
                <w:szCs w:val="21"/>
              </w:rPr>
              <w:t>10</w:t>
            </w:r>
            <w:r>
              <w:rPr>
                <w:rFonts w:ascii="Times New Roman" w:eastAsia="仿宋_GB2312"/>
                <w:snapToGrid w:val="0"/>
                <w:kern w:val="0"/>
                <w:szCs w:val="21"/>
              </w:rPr>
              <w:t>学时的营养健康知识、食品安全知识和防控传染病技能培训；同时对服务员和厨师每年至少组织开展</w:t>
            </w:r>
            <w:r>
              <w:rPr>
                <w:rFonts w:ascii="Times New Roman" w:eastAsia="仿宋_GB2312"/>
                <w:snapToGrid w:val="0"/>
                <w:kern w:val="0"/>
                <w:szCs w:val="21"/>
              </w:rPr>
              <w:t>1</w:t>
            </w:r>
            <w:r>
              <w:rPr>
                <w:rFonts w:ascii="Times New Roman" w:eastAsia="仿宋_GB2312"/>
                <w:snapToGrid w:val="0"/>
                <w:kern w:val="0"/>
                <w:szCs w:val="21"/>
              </w:rPr>
              <w:t>次营养健康知识培训，内容包括餐厅菜品营养特点、菜品营养标示解读、合理膳食知识、三减三</w:t>
            </w:r>
            <w:proofErr w:type="gramStart"/>
            <w:r>
              <w:rPr>
                <w:rFonts w:ascii="Times New Roman" w:eastAsia="仿宋_GB2312"/>
                <w:snapToGrid w:val="0"/>
                <w:kern w:val="0"/>
                <w:szCs w:val="21"/>
              </w:rPr>
              <w:t>健制作</w:t>
            </w:r>
            <w:proofErr w:type="gramEnd"/>
            <w:r>
              <w:rPr>
                <w:rFonts w:ascii="Times New Roman" w:eastAsia="仿宋_GB2312"/>
                <w:snapToGrid w:val="0"/>
                <w:kern w:val="0"/>
                <w:szCs w:val="21"/>
              </w:rPr>
              <w:t>技能等。</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8</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年度培训时长内容合格，得</w:t>
            </w:r>
            <w:r>
              <w:rPr>
                <w:rFonts w:ascii="Times New Roman" w:eastAsia="仿宋_GB2312"/>
                <w:snapToGrid w:val="0"/>
                <w:kern w:val="0"/>
                <w:szCs w:val="21"/>
              </w:rPr>
              <w:t>4</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对服务员和厨师组织实施培训，得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培训内容完整，得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737"/>
          <w:jc w:val="center"/>
        </w:trPr>
        <w:tc>
          <w:tcPr>
            <w:tcW w:w="874" w:type="dxa"/>
            <w:vMerge/>
            <w:vAlign w:val="center"/>
          </w:tcPr>
          <w:p w:rsidR="00F202AF" w:rsidRDefault="00F202AF" w:rsidP="00592EFB">
            <w:pPr>
              <w:pStyle w:val="a3"/>
              <w:ind w:firstLineChars="0" w:firstLine="0"/>
              <w:jc w:val="center"/>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17.</w:t>
            </w:r>
            <w:r>
              <w:rPr>
                <w:rFonts w:ascii="Times New Roman" w:eastAsia="仿宋_GB2312"/>
                <w:snapToGrid w:val="0"/>
                <w:kern w:val="0"/>
                <w:szCs w:val="21"/>
              </w:rPr>
              <w:t>每年组织一次营养指导人员、厨师和服务员的营养相关知识技能岗位能力自我测评和考核。</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3</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每年测评，得</w:t>
            </w:r>
            <w:r>
              <w:rPr>
                <w:rFonts w:ascii="Times New Roman" w:eastAsia="仿宋_GB2312"/>
                <w:snapToGrid w:val="0"/>
                <w:kern w:val="0"/>
                <w:szCs w:val="21"/>
              </w:rPr>
              <w:t>3</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020"/>
          <w:jc w:val="center"/>
        </w:trPr>
        <w:tc>
          <w:tcPr>
            <w:tcW w:w="874" w:type="dxa"/>
            <w:vMerge w:val="restart"/>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t>影响</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评估</w:t>
            </w:r>
          </w:p>
          <w:p w:rsidR="00F202AF" w:rsidRDefault="00F202AF" w:rsidP="00592EFB">
            <w:pPr>
              <w:pStyle w:val="a3"/>
              <w:ind w:firstLineChars="0" w:firstLine="0"/>
              <w:jc w:val="center"/>
              <w:rPr>
                <w:rFonts w:ascii="Times New Roman" w:eastAsia="仿宋"/>
                <w:szCs w:val="21"/>
              </w:rPr>
            </w:pPr>
            <w:r>
              <w:rPr>
                <w:rFonts w:ascii="Times New Roman" w:eastAsia="仿宋"/>
                <w:szCs w:val="21"/>
              </w:rPr>
              <w:t>10</w:t>
            </w:r>
            <w:r>
              <w:rPr>
                <w:rFonts w:ascii="Times New Roman" w:eastAsia="仿宋"/>
                <w:szCs w:val="21"/>
              </w:rPr>
              <w:t>分</w:t>
            </w: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18.</w:t>
            </w:r>
            <w:r>
              <w:rPr>
                <w:rFonts w:ascii="Times New Roman" w:eastAsia="仿宋_GB2312"/>
                <w:snapToGrid w:val="0"/>
                <w:kern w:val="0"/>
                <w:szCs w:val="21"/>
              </w:rPr>
              <w:t>对用餐人员的营养健康</w:t>
            </w:r>
            <w:proofErr w:type="gramStart"/>
            <w:r>
              <w:rPr>
                <w:rFonts w:ascii="Times New Roman" w:eastAsia="仿宋_GB2312"/>
                <w:snapToGrid w:val="0"/>
                <w:kern w:val="0"/>
                <w:szCs w:val="21"/>
              </w:rPr>
              <w:t>相关知信行</w:t>
            </w:r>
            <w:proofErr w:type="gramEnd"/>
            <w:r>
              <w:rPr>
                <w:rFonts w:ascii="Times New Roman" w:eastAsia="仿宋_GB2312"/>
                <w:snapToGrid w:val="0"/>
                <w:kern w:val="0"/>
                <w:szCs w:val="21"/>
              </w:rPr>
              <w:t>情况、对餐厅的满意度、膳食结构，以及餐厅的各种食物采购量、油盐糖及高盐调味品的使用量进行调查。</w:t>
            </w:r>
          </w:p>
        </w:tc>
        <w:tc>
          <w:tcPr>
            <w:tcW w:w="811" w:type="dxa"/>
            <w:vMerge w:val="restart"/>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现场询问，查看资料</w:t>
            </w: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5</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开展用餐人员营养健康相关调查，得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开展对餐厅膳食等的满意度调查，得</w:t>
            </w:r>
            <w:r>
              <w:rPr>
                <w:rFonts w:ascii="Times New Roman" w:eastAsia="仿宋_GB2312"/>
                <w:snapToGrid w:val="0"/>
                <w:kern w:val="0"/>
                <w:szCs w:val="21"/>
              </w:rPr>
              <w:t>1</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开展食物及调味品使用量调查，得</w:t>
            </w:r>
            <w:r>
              <w:rPr>
                <w:rFonts w:ascii="Times New Roman" w:eastAsia="仿宋_GB2312"/>
                <w:snapToGrid w:val="0"/>
                <w:kern w:val="0"/>
                <w:szCs w:val="21"/>
              </w:rPr>
              <w:t>2</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1134"/>
          <w:jc w:val="center"/>
        </w:trPr>
        <w:tc>
          <w:tcPr>
            <w:tcW w:w="874" w:type="dxa"/>
            <w:vMerge/>
            <w:vAlign w:val="center"/>
          </w:tcPr>
          <w:p w:rsidR="00F202AF" w:rsidRDefault="00F202AF" w:rsidP="00592EFB">
            <w:pPr>
              <w:pStyle w:val="a3"/>
              <w:ind w:firstLineChars="0" w:firstLine="0"/>
              <w:jc w:val="left"/>
              <w:rPr>
                <w:rFonts w:ascii="Times New Roman" w:eastAsia="仿宋"/>
                <w:szCs w:val="21"/>
              </w:rPr>
            </w:pPr>
          </w:p>
        </w:tc>
        <w:tc>
          <w:tcPr>
            <w:tcW w:w="7140"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19.</w:t>
            </w:r>
            <w:r>
              <w:rPr>
                <w:rFonts w:ascii="Times New Roman" w:eastAsia="仿宋_GB2312"/>
                <w:snapToGrid w:val="0"/>
                <w:kern w:val="0"/>
                <w:szCs w:val="21"/>
              </w:rPr>
              <w:t>每年评估总结本餐厅在组织管理、环境建设、供餐服务、人员管理方面所做的工作，评价餐厅员工及用餐人员营养知识知晓率、膳食结构、油盐糖使用量以及用餐人员对餐厅满意度等的改善情况以及对餐厅改良的接受度。</w:t>
            </w:r>
          </w:p>
        </w:tc>
        <w:tc>
          <w:tcPr>
            <w:tcW w:w="811" w:type="dxa"/>
            <w:vMerge/>
            <w:vAlign w:val="center"/>
          </w:tcPr>
          <w:p w:rsidR="00F202AF" w:rsidRDefault="00F202AF" w:rsidP="00592EFB">
            <w:pPr>
              <w:pStyle w:val="a3"/>
              <w:ind w:firstLineChars="0" w:firstLine="0"/>
              <w:jc w:val="center"/>
              <w:rPr>
                <w:rFonts w:ascii="Times New Roman" w:eastAsia="仿宋_GB2312"/>
                <w:snapToGrid w:val="0"/>
                <w:kern w:val="0"/>
                <w:szCs w:val="21"/>
              </w:rPr>
            </w:pPr>
          </w:p>
        </w:tc>
        <w:tc>
          <w:tcPr>
            <w:tcW w:w="921" w:type="dxa"/>
            <w:vAlign w:val="center"/>
          </w:tcPr>
          <w:p w:rsidR="00F202AF" w:rsidRDefault="00F202AF" w:rsidP="00592EFB">
            <w:pPr>
              <w:pStyle w:val="a3"/>
              <w:ind w:firstLineChars="0" w:firstLine="0"/>
              <w:jc w:val="center"/>
              <w:rPr>
                <w:rFonts w:ascii="Times New Roman" w:eastAsia="仿宋_GB2312"/>
                <w:snapToGrid w:val="0"/>
                <w:kern w:val="0"/>
                <w:szCs w:val="21"/>
              </w:rPr>
            </w:pPr>
            <w:r>
              <w:rPr>
                <w:rFonts w:ascii="Times New Roman" w:eastAsia="仿宋_GB2312"/>
                <w:snapToGrid w:val="0"/>
                <w:kern w:val="0"/>
                <w:szCs w:val="21"/>
              </w:rPr>
              <w:t>5</w:t>
            </w:r>
          </w:p>
        </w:tc>
        <w:tc>
          <w:tcPr>
            <w:tcW w:w="4252" w:type="dxa"/>
            <w:vAlign w:val="center"/>
          </w:tcPr>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开展评估，得</w:t>
            </w:r>
            <w:r>
              <w:rPr>
                <w:rFonts w:ascii="Times New Roman" w:eastAsia="仿宋_GB2312"/>
                <w:snapToGrid w:val="0"/>
                <w:kern w:val="0"/>
                <w:szCs w:val="21"/>
              </w:rPr>
              <w:t>2</w:t>
            </w:r>
            <w:r>
              <w:rPr>
                <w:rFonts w:ascii="Times New Roman" w:eastAsia="仿宋_GB2312"/>
                <w:snapToGrid w:val="0"/>
                <w:kern w:val="0"/>
                <w:szCs w:val="21"/>
              </w:rPr>
              <w:t>分</w:t>
            </w:r>
          </w:p>
          <w:p w:rsidR="00F202AF" w:rsidRDefault="00F202AF" w:rsidP="00592EFB">
            <w:pPr>
              <w:pStyle w:val="a3"/>
              <w:ind w:firstLineChars="0" w:firstLine="0"/>
              <w:jc w:val="left"/>
              <w:rPr>
                <w:rFonts w:ascii="Times New Roman" w:eastAsia="仿宋_GB2312"/>
                <w:snapToGrid w:val="0"/>
                <w:kern w:val="0"/>
                <w:szCs w:val="21"/>
              </w:rPr>
            </w:pPr>
            <w:r>
              <w:rPr>
                <w:rFonts w:ascii="Times New Roman" w:eastAsia="仿宋_GB2312"/>
                <w:snapToGrid w:val="0"/>
                <w:kern w:val="0"/>
                <w:szCs w:val="21"/>
              </w:rPr>
              <w:t>评估要素齐全，得</w:t>
            </w:r>
            <w:r>
              <w:rPr>
                <w:rFonts w:ascii="Times New Roman" w:eastAsia="仿宋_GB2312"/>
                <w:snapToGrid w:val="0"/>
                <w:kern w:val="0"/>
                <w:szCs w:val="21"/>
              </w:rPr>
              <w:t>3</w:t>
            </w:r>
            <w:r>
              <w:rPr>
                <w:rFonts w:ascii="Times New Roman" w:eastAsia="仿宋_GB2312"/>
                <w:snapToGrid w:val="0"/>
                <w:kern w:val="0"/>
                <w:szCs w:val="21"/>
              </w:rPr>
              <w:t>分</w:t>
            </w:r>
          </w:p>
        </w:tc>
        <w:tc>
          <w:tcPr>
            <w:tcW w:w="897" w:type="dxa"/>
            <w:vAlign w:val="center"/>
          </w:tcPr>
          <w:p w:rsidR="00F202AF" w:rsidRDefault="00F202AF" w:rsidP="00592EFB">
            <w:pPr>
              <w:widowControl/>
              <w:jc w:val="left"/>
              <w:rPr>
                <w:rFonts w:ascii="Times New Roman" w:eastAsia="仿宋" w:hAnsi="Times New Roman"/>
                <w:sz w:val="24"/>
              </w:rPr>
            </w:pPr>
          </w:p>
        </w:tc>
      </w:tr>
      <w:tr w:rsidR="00F202AF" w:rsidTr="00592EFB">
        <w:trPr>
          <w:trHeight w:val="624"/>
          <w:jc w:val="center"/>
        </w:trPr>
        <w:tc>
          <w:tcPr>
            <w:tcW w:w="874" w:type="dxa"/>
            <w:vAlign w:val="center"/>
          </w:tcPr>
          <w:p w:rsidR="00F202AF" w:rsidRDefault="00F202AF" w:rsidP="00592EFB">
            <w:pPr>
              <w:pStyle w:val="a3"/>
              <w:ind w:firstLineChars="0" w:firstLine="0"/>
              <w:jc w:val="center"/>
              <w:rPr>
                <w:rFonts w:ascii="Times New Roman" w:eastAsia="仿宋"/>
                <w:szCs w:val="21"/>
              </w:rPr>
            </w:pPr>
            <w:r>
              <w:rPr>
                <w:rFonts w:ascii="Times New Roman" w:eastAsia="仿宋"/>
                <w:szCs w:val="21"/>
              </w:rPr>
              <w:t>合计</w:t>
            </w:r>
          </w:p>
        </w:tc>
        <w:tc>
          <w:tcPr>
            <w:tcW w:w="7140" w:type="dxa"/>
            <w:vAlign w:val="center"/>
          </w:tcPr>
          <w:p w:rsidR="00F202AF" w:rsidRDefault="00F202AF" w:rsidP="00592EFB">
            <w:pPr>
              <w:pStyle w:val="a3"/>
              <w:ind w:firstLineChars="0" w:firstLine="0"/>
              <w:jc w:val="left"/>
              <w:rPr>
                <w:rFonts w:ascii="Times New Roman" w:eastAsia="仿宋"/>
                <w:sz w:val="24"/>
                <w:szCs w:val="24"/>
              </w:rPr>
            </w:pPr>
          </w:p>
        </w:tc>
        <w:tc>
          <w:tcPr>
            <w:tcW w:w="811" w:type="dxa"/>
            <w:vAlign w:val="center"/>
          </w:tcPr>
          <w:p w:rsidR="00F202AF" w:rsidRDefault="00F202AF" w:rsidP="00592EFB">
            <w:pPr>
              <w:widowControl/>
              <w:jc w:val="center"/>
              <w:rPr>
                <w:rFonts w:ascii="Times New Roman" w:eastAsia="仿宋" w:hAnsi="Times New Roman"/>
                <w:sz w:val="24"/>
              </w:rPr>
            </w:pPr>
          </w:p>
        </w:tc>
        <w:tc>
          <w:tcPr>
            <w:tcW w:w="921" w:type="dxa"/>
            <w:vAlign w:val="center"/>
          </w:tcPr>
          <w:p w:rsidR="00F202AF" w:rsidRDefault="00F202AF" w:rsidP="00592EFB">
            <w:pPr>
              <w:widowControl/>
              <w:jc w:val="center"/>
              <w:rPr>
                <w:rFonts w:ascii="Times New Roman" w:eastAsia="仿宋" w:hAnsi="Times New Roman"/>
                <w:sz w:val="24"/>
              </w:rPr>
            </w:pPr>
            <w:r>
              <w:rPr>
                <w:rFonts w:ascii="Times New Roman" w:eastAsia="仿宋_GB2312" w:hAnsi="Times New Roman"/>
                <w:snapToGrid w:val="0"/>
                <w:kern w:val="0"/>
                <w:szCs w:val="21"/>
              </w:rPr>
              <w:t>100</w:t>
            </w:r>
          </w:p>
        </w:tc>
        <w:tc>
          <w:tcPr>
            <w:tcW w:w="4252" w:type="dxa"/>
            <w:vAlign w:val="center"/>
          </w:tcPr>
          <w:p w:rsidR="00F202AF" w:rsidRDefault="00F202AF" w:rsidP="00592EFB">
            <w:pPr>
              <w:pStyle w:val="a3"/>
              <w:ind w:firstLineChars="0" w:firstLine="0"/>
              <w:jc w:val="left"/>
              <w:rPr>
                <w:rFonts w:ascii="Times New Roman" w:eastAsia="仿宋"/>
                <w:sz w:val="24"/>
                <w:szCs w:val="24"/>
              </w:rPr>
            </w:pPr>
          </w:p>
        </w:tc>
        <w:tc>
          <w:tcPr>
            <w:tcW w:w="897" w:type="dxa"/>
            <w:vAlign w:val="center"/>
          </w:tcPr>
          <w:p w:rsidR="00F202AF" w:rsidRDefault="00F202AF" w:rsidP="00592EFB">
            <w:pPr>
              <w:widowControl/>
              <w:jc w:val="left"/>
              <w:rPr>
                <w:rFonts w:ascii="Times New Roman" w:eastAsia="仿宋" w:hAnsi="Times New Roman"/>
                <w:sz w:val="24"/>
              </w:rPr>
            </w:pPr>
          </w:p>
        </w:tc>
      </w:tr>
    </w:tbl>
    <w:p w:rsidR="00F202AF" w:rsidRDefault="00F202AF" w:rsidP="00F202AF">
      <w:pPr>
        <w:spacing w:beforeLines="100" w:line="440" w:lineRule="exact"/>
        <w:ind w:firstLineChars="250" w:firstLine="525"/>
        <w:jc w:val="left"/>
        <w:rPr>
          <w:rFonts w:ascii="Times New Roman" w:eastAsia="仿宋_GB2312" w:hAnsi="Times New Roman"/>
          <w:snapToGrid w:val="0"/>
          <w:kern w:val="0"/>
          <w:szCs w:val="21"/>
        </w:rPr>
      </w:pPr>
      <w:r>
        <w:rPr>
          <w:rFonts w:ascii="Times New Roman" w:eastAsia="仿宋_GB2312" w:hAnsi="Times New Roman"/>
          <w:snapToGrid w:val="0"/>
          <w:kern w:val="0"/>
          <w:szCs w:val="21"/>
        </w:rPr>
        <w:t>1.</w:t>
      </w:r>
      <w:r>
        <w:rPr>
          <w:rFonts w:ascii="Times New Roman" w:eastAsia="仿宋_GB2312" w:hAnsi="Times New Roman"/>
          <w:snapToGrid w:val="0"/>
          <w:kern w:val="0"/>
          <w:szCs w:val="21"/>
        </w:rPr>
        <w:t>由评估人员按照上表进行现场考核并评估，必备项不满足或评分不足</w:t>
      </w:r>
      <w:r>
        <w:rPr>
          <w:rFonts w:ascii="Times New Roman" w:eastAsia="仿宋_GB2312" w:hAnsi="Times New Roman"/>
          <w:snapToGrid w:val="0"/>
          <w:kern w:val="0"/>
          <w:szCs w:val="21"/>
        </w:rPr>
        <w:t>70</w:t>
      </w:r>
      <w:r>
        <w:rPr>
          <w:rFonts w:ascii="Times New Roman" w:eastAsia="仿宋_GB2312" w:hAnsi="Times New Roman"/>
          <w:snapToGrid w:val="0"/>
          <w:kern w:val="0"/>
          <w:szCs w:val="21"/>
        </w:rPr>
        <w:t>分的，不作为营养健康餐厅评定。评分</w:t>
      </w:r>
      <w:r>
        <w:rPr>
          <w:rFonts w:ascii="Times New Roman" w:eastAsia="仿宋_GB2312" w:hAnsi="Times New Roman"/>
          <w:snapToGrid w:val="0"/>
          <w:kern w:val="0"/>
          <w:szCs w:val="21"/>
        </w:rPr>
        <w:t>90</w:t>
      </w:r>
      <w:r>
        <w:rPr>
          <w:rFonts w:ascii="Times New Roman" w:eastAsia="仿宋_GB2312" w:hAnsi="Times New Roman"/>
          <w:snapToGrid w:val="0"/>
          <w:kern w:val="0"/>
          <w:szCs w:val="21"/>
        </w:rPr>
        <w:t>分以上可认定为营养健康餐厅示范单位。</w:t>
      </w:r>
    </w:p>
    <w:p w:rsidR="00F202AF" w:rsidRDefault="00F202AF" w:rsidP="00F202AF">
      <w:pPr>
        <w:widowControl/>
        <w:spacing w:line="440" w:lineRule="exact"/>
        <w:ind w:firstLineChars="250" w:firstLine="525"/>
        <w:jc w:val="left"/>
        <w:rPr>
          <w:rFonts w:ascii="Times New Roman" w:eastAsia="仿宋_GB2312" w:hAnsi="Times New Roman"/>
          <w:snapToGrid w:val="0"/>
          <w:kern w:val="0"/>
          <w:szCs w:val="21"/>
        </w:rPr>
      </w:pPr>
      <w:r>
        <w:rPr>
          <w:rFonts w:ascii="Times New Roman" w:eastAsia="仿宋_GB2312" w:hAnsi="Times New Roman"/>
          <w:snapToGrid w:val="0"/>
          <w:kern w:val="0"/>
          <w:szCs w:val="21"/>
        </w:rPr>
        <w:t>2.</w:t>
      </w:r>
      <w:r>
        <w:rPr>
          <w:rFonts w:ascii="Times New Roman" w:eastAsia="仿宋_GB2312" w:hAnsi="Times New Roman"/>
          <w:snapToGrid w:val="0"/>
          <w:kern w:val="0"/>
          <w:szCs w:val="21"/>
        </w:rPr>
        <w:t>抽查和监督。组织考核单位对营养健康餐厅实施不定期抽查，原则上示范单位</w:t>
      </w:r>
      <w:r>
        <w:rPr>
          <w:rFonts w:ascii="Times New Roman" w:eastAsia="仿宋_GB2312" w:hAnsi="Times New Roman"/>
          <w:snapToGrid w:val="0"/>
          <w:kern w:val="0"/>
          <w:szCs w:val="21"/>
        </w:rPr>
        <w:t>12</w:t>
      </w:r>
      <w:r>
        <w:rPr>
          <w:rFonts w:ascii="Times New Roman" w:eastAsia="仿宋_GB2312" w:hAnsi="Times New Roman"/>
          <w:snapToGrid w:val="0"/>
          <w:kern w:val="0"/>
          <w:szCs w:val="21"/>
        </w:rPr>
        <w:t>个月内至少检查</w:t>
      </w:r>
      <w:r>
        <w:rPr>
          <w:rFonts w:ascii="Times New Roman" w:eastAsia="仿宋_GB2312" w:hAnsi="Times New Roman"/>
          <w:snapToGrid w:val="0"/>
          <w:kern w:val="0"/>
          <w:szCs w:val="21"/>
        </w:rPr>
        <w:t>1</w:t>
      </w:r>
      <w:r>
        <w:rPr>
          <w:rFonts w:ascii="Times New Roman" w:eastAsia="仿宋_GB2312" w:hAnsi="Times New Roman"/>
          <w:snapToGrid w:val="0"/>
          <w:kern w:val="0"/>
          <w:szCs w:val="21"/>
        </w:rPr>
        <w:t>次。达不到要求的，给予</w:t>
      </w:r>
      <w:r>
        <w:rPr>
          <w:rFonts w:ascii="Times New Roman" w:eastAsia="仿宋_GB2312" w:hAnsi="Times New Roman"/>
          <w:snapToGrid w:val="0"/>
          <w:kern w:val="0"/>
          <w:szCs w:val="21"/>
        </w:rPr>
        <w:t>1</w:t>
      </w:r>
      <w:r>
        <w:rPr>
          <w:rFonts w:ascii="Times New Roman" w:eastAsia="仿宋_GB2312" w:hAnsi="Times New Roman"/>
          <w:snapToGrid w:val="0"/>
          <w:kern w:val="0"/>
          <w:szCs w:val="21"/>
        </w:rPr>
        <w:t>个月的整改期限，期限时间到达后仍达不到要求的，取消示范单位评定。</w:t>
      </w:r>
    </w:p>
    <w:p w:rsidR="00F202AF" w:rsidRDefault="00F202AF" w:rsidP="00F202AF">
      <w:pPr>
        <w:spacing w:line="440" w:lineRule="exact"/>
        <w:ind w:firstLineChars="200" w:firstLine="640"/>
        <w:jc w:val="center"/>
        <w:rPr>
          <w:rFonts w:ascii="Times New Roman" w:eastAsia="仿宋_GB2312" w:hAnsi="Times New Roman"/>
          <w:b/>
          <w:bCs/>
          <w:sz w:val="32"/>
          <w:szCs w:val="32"/>
        </w:rPr>
      </w:pPr>
    </w:p>
    <w:p w:rsidR="00F202AF" w:rsidRDefault="00F202AF" w:rsidP="00F202AF">
      <w:pPr>
        <w:spacing w:line="336" w:lineRule="auto"/>
        <w:rPr>
          <w:rFonts w:ascii="Times New Roman" w:eastAsia="仿宋_GB2312" w:hAnsi="Times New Roman"/>
          <w:b/>
          <w:bCs/>
          <w:sz w:val="32"/>
          <w:szCs w:val="32"/>
        </w:rPr>
      </w:pPr>
    </w:p>
    <w:p w:rsidR="00F202AF" w:rsidRDefault="00F202AF" w:rsidP="00F202AF">
      <w:pPr>
        <w:spacing w:line="336" w:lineRule="auto"/>
        <w:rPr>
          <w:rFonts w:ascii="Times New Roman" w:eastAsia="仿宋_GB2312" w:hAnsi="Times New Roman"/>
          <w:b/>
          <w:bCs/>
          <w:sz w:val="32"/>
          <w:szCs w:val="32"/>
        </w:rPr>
      </w:pPr>
    </w:p>
    <w:p w:rsidR="00F202AF" w:rsidRDefault="00F202AF" w:rsidP="00F202AF">
      <w:pPr>
        <w:spacing w:line="336" w:lineRule="auto"/>
        <w:rPr>
          <w:rFonts w:ascii="Times New Roman" w:eastAsia="仿宋_GB2312" w:hAnsi="Times New Roman"/>
          <w:b/>
          <w:bCs/>
          <w:sz w:val="32"/>
          <w:szCs w:val="32"/>
        </w:rPr>
      </w:pPr>
    </w:p>
    <w:p w:rsidR="00F202AF" w:rsidRDefault="00F202AF" w:rsidP="00F202AF">
      <w:pPr>
        <w:spacing w:line="336" w:lineRule="auto"/>
        <w:rPr>
          <w:rFonts w:ascii="Times New Roman" w:eastAsia="仿宋_GB2312" w:hAnsi="Times New Roman"/>
          <w:b/>
          <w:bCs/>
          <w:sz w:val="32"/>
          <w:szCs w:val="32"/>
        </w:rPr>
      </w:pPr>
    </w:p>
    <w:p w:rsidR="00F202AF" w:rsidRDefault="00F202AF" w:rsidP="00F202AF">
      <w:pPr>
        <w:spacing w:line="336" w:lineRule="auto"/>
        <w:rPr>
          <w:rFonts w:ascii="Times New Roman" w:eastAsia="仿宋_GB2312" w:hAnsi="Times New Roman"/>
          <w:b/>
          <w:bCs/>
          <w:sz w:val="32"/>
          <w:szCs w:val="32"/>
        </w:rPr>
      </w:pPr>
    </w:p>
    <w:p w:rsidR="00A41D03" w:rsidRPr="00F202AF" w:rsidRDefault="00A41D03"/>
    <w:sectPr w:rsidR="00A41D03" w:rsidRPr="00F202AF" w:rsidSect="00F202A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202AF"/>
    <w:rsid w:val="00A41D03"/>
    <w:rsid w:val="00F20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2A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
    <w:qFormat/>
    <w:rsid w:val="00F202AF"/>
    <w:pPr>
      <w:autoSpaceDE w:val="0"/>
      <w:autoSpaceDN w:val="0"/>
      <w:ind w:firstLineChars="200" w:firstLine="200"/>
      <w:jc w:val="both"/>
    </w:pPr>
    <w:rPr>
      <w:rFonts w:ascii="宋体"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2022-06-30T02:14:00Z</dcterms:created>
  <dcterms:modified xsi:type="dcterms:W3CDTF">2022-06-30T02:15:00Z</dcterms:modified>
</cp:coreProperties>
</file>