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临金高速公路临安至建德段工程TJ02标：</w:t>
      </w:r>
    </w:p>
    <w:p>
      <w:pPr>
        <w:pStyle w:val="7"/>
        <w:ind w:firstLine="0" w:firstLineChars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1、施工五方责任主体信息</w:t>
      </w:r>
    </w:p>
    <w:p>
      <w:pPr>
        <w:pStyle w:val="7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建设单位：浙江杭宣高速公路有限公司   项目负责人：王伟力</w:t>
      </w:r>
    </w:p>
    <w:p>
      <w:pPr>
        <w:pStyle w:val="7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勘察单位：浙江省</w:t>
      </w:r>
      <w:bookmarkStart w:id="63" w:name="_GoBack"/>
      <w:bookmarkEnd w:id="63"/>
      <w:r>
        <w:rPr>
          <w:rFonts w:hint="eastAsia" w:ascii="仿宋_GB2312" w:eastAsia="仿宋_GB2312"/>
          <w:bCs/>
          <w:sz w:val="30"/>
          <w:szCs w:val="30"/>
        </w:rPr>
        <w:t>交通规划设计研究院有限公司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</w:rPr>
        <w:t>负责人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Cs/>
          <w:sz w:val="30"/>
          <w:szCs w:val="30"/>
        </w:rPr>
        <w:t>崔永兴</w:t>
      </w:r>
    </w:p>
    <w:p>
      <w:pPr>
        <w:pStyle w:val="7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设计单位： 浙江省交通规划设计研究院有限公司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0"/>
          <w:szCs w:val="30"/>
        </w:rPr>
        <w:t xml:space="preserve">杭州市交通规划设计研究院  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</w:rPr>
        <w:t>项目负责人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Cs/>
          <w:sz w:val="30"/>
          <w:szCs w:val="30"/>
        </w:rPr>
        <w:t>施兹国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0"/>
          <w:szCs w:val="30"/>
        </w:rPr>
        <w:t xml:space="preserve">方志杨   </w:t>
      </w:r>
    </w:p>
    <w:p>
      <w:pPr>
        <w:pStyle w:val="7"/>
        <w:ind w:firstLine="0" w:firstLineChars="0"/>
        <w:rPr>
          <w:rFonts w:hint="default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施工单位：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中交三公局第一工程有限公司 </w:t>
      </w:r>
      <w:r>
        <w:rPr>
          <w:rFonts w:hint="eastAsia" w:ascii="仿宋_GB2312" w:eastAsia="仿宋_GB2312"/>
          <w:bCs/>
          <w:sz w:val="30"/>
          <w:szCs w:val="30"/>
        </w:rPr>
        <w:t>项目经理：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赵祥成</w:t>
      </w:r>
    </w:p>
    <w:p>
      <w:pPr>
        <w:rPr>
          <w:rFonts w:hint="default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监理单位：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浙江公路水运工程监理咨询有限公司  </w:t>
      </w:r>
      <w:r>
        <w:rPr>
          <w:rFonts w:hint="eastAsia" w:ascii="仿宋_GB2312" w:eastAsia="仿宋_GB2312"/>
          <w:bCs/>
          <w:sz w:val="30"/>
          <w:szCs w:val="30"/>
        </w:rPr>
        <w:t>总监理工程师：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苏勇敏</w:t>
      </w:r>
    </w:p>
    <w:p>
      <w:pPr>
        <w:pStyle w:val="7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2、管理机构设置</w:t>
      </w:r>
    </w:p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highlight w:val="none"/>
        </w:rPr>
        <w:drawing>
          <wp:inline distT="0" distB="0" distL="114300" distR="114300">
            <wp:extent cx="5761355" cy="4044950"/>
            <wp:effectExtent l="0" t="0" r="10795" b="12700"/>
            <wp:docPr id="83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pStyle w:val="7"/>
        <w:ind w:firstLine="0" w:firstLineChars="0"/>
        <w:rPr>
          <w:b/>
          <w:bCs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3、主要管理制度</w:t>
      </w:r>
    </w:p>
    <w:p>
      <w:pPr>
        <w:pStyle w:val="7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《质量管理制度》、《</w:t>
      </w:r>
      <w:r>
        <w:rPr>
          <w:rFonts w:ascii="仿宋_GB2312" w:eastAsia="仿宋_GB2312"/>
          <w:bCs/>
          <w:sz w:val="30"/>
          <w:szCs w:val="30"/>
        </w:rPr>
        <w:t>安全生产责任制</w:t>
      </w:r>
      <w:r>
        <w:rPr>
          <w:rFonts w:hint="eastAsia" w:ascii="仿宋_GB2312" w:eastAsia="仿宋_GB2312"/>
          <w:bCs/>
          <w:sz w:val="30"/>
          <w:szCs w:val="30"/>
        </w:rPr>
        <w:t>》、《</w:t>
      </w:r>
      <w:r>
        <w:rPr>
          <w:rFonts w:ascii="仿宋_GB2312" w:eastAsia="仿宋_GB2312"/>
          <w:bCs/>
          <w:sz w:val="30"/>
          <w:szCs w:val="30"/>
        </w:rPr>
        <w:t>安全生产奖惩</w:t>
      </w:r>
      <w:r>
        <w:rPr>
          <w:rFonts w:hint="eastAsia" w:ascii="仿宋_GB2312" w:eastAsia="仿宋_GB2312"/>
          <w:bCs/>
          <w:sz w:val="30"/>
          <w:szCs w:val="30"/>
        </w:rPr>
        <w:t>制度》、《</w:t>
      </w:r>
      <w:r>
        <w:rPr>
          <w:rFonts w:ascii="仿宋_GB2312" w:eastAsia="仿宋_GB2312"/>
          <w:bCs/>
          <w:sz w:val="30"/>
          <w:szCs w:val="30"/>
        </w:rPr>
        <w:t>领导带班</w:t>
      </w:r>
      <w:r>
        <w:rPr>
          <w:rFonts w:hint="eastAsia" w:ascii="仿宋_GB2312" w:eastAsia="仿宋_GB2312"/>
          <w:bCs/>
          <w:sz w:val="30"/>
          <w:szCs w:val="30"/>
        </w:rPr>
        <w:t>制度》、《质量计划》等。</w:t>
      </w:r>
    </w:p>
    <w:p>
      <w:pPr>
        <w:pStyle w:val="7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4、施工期环境保护措施落实情况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0" w:name="_Toc29662"/>
      <w:bookmarkStart w:id="1" w:name="_Toc25392404"/>
      <w:bookmarkStart w:id="2" w:name="_Toc19708"/>
      <w:bookmarkStart w:id="3" w:name="_Toc26856"/>
      <w:bookmarkStart w:id="4" w:name="_Toc25393031"/>
      <w:bookmarkStart w:id="5" w:name="_Toc22890"/>
      <w:bookmarkStart w:id="6" w:name="_Toc25393236"/>
      <w:bookmarkStart w:id="7" w:name="_Toc25392820"/>
      <w:bookmarkStart w:id="8" w:name="_Toc25392615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1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维护自然生态环境的措施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施工便道、施工现场生产、生活房屋、石料堆放和材料加工场及取(弃)土场等一切临时生产、生活设施的布置在指定规划的区域内，尽量选择裸露的荒地修建生产、生活设施，满足有关要求，避免因临时工程修建的随意性而破坏地表植被而人为恶化生态环境。机械、车辆横向走便道，纵向走路基，严禁超越规定线路乱行驶，压坏草地、植被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在自然保护区、风景名胜区施工，做好有关边界线、标示牌的设置，限制人员、机械的活动范围，严禁有关人员偷猎野生动物和采摘、践踏及随意铲除植物等。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营造良好的生活环境。在施工现场各生活区设置足够的临时卫生设施，经常进行卫生清理，同时生活区周围铺植草皮。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9" w:name="_Toc16668"/>
      <w:bookmarkStart w:id="10" w:name="_Toc257"/>
      <w:bookmarkStart w:id="11" w:name="_Toc25393032"/>
      <w:bookmarkStart w:id="12" w:name="_Toc28624"/>
      <w:bookmarkStart w:id="13" w:name="_Toc25392821"/>
      <w:bookmarkStart w:id="14" w:name="_Toc30093"/>
      <w:bookmarkStart w:id="15" w:name="_Toc25392616"/>
      <w:bookmarkStart w:id="16" w:name="_Toc25393237"/>
      <w:bookmarkStart w:id="17" w:name="_Toc25392405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2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合理规划施工用地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工程临时占地不擅自占用或征用林地、保护沿线古树、不开挖采石取土，材料、废弃物不得于林下堆放，确因建设需要占用林地的，项目施工结束后做好抚育与恢复工作；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临时施工场地的选择与布置，尽量少占用绿地面积，保护好周围环境，减少对植被生态的破坏。施工结束后，及时恢复绿化或整理复耕，重视临时施工用地的复垦；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工程取土、挖方符合所在地相关管理办法的规定，生态环境和矿产资源的破坏；取弃土时严格落实水土保持措施，防止遍地开花式的无序作业，进行有序开挖取土，减少对生态的破坏。并结合工程的实施，及时进行绿化，美化环境；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取土区选在高地、荒地上，尽量不占耕地，当必须从耕地取土时，将表面种植土铲除，集中成堆保存，并在工程交工前做好还地工作。对于深而宽的取土坑，可根据当地需要，用作蓄水池或鱼塘。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18" w:name="_Toc25393238"/>
      <w:bookmarkStart w:id="19" w:name="_Toc25392617"/>
      <w:bookmarkStart w:id="20" w:name="_Toc20127"/>
      <w:bookmarkStart w:id="21" w:name="_Toc12038"/>
      <w:bookmarkStart w:id="22" w:name="_Toc2079"/>
      <w:bookmarkStart w:id="23" w:name="_Toc25392822"/>
      <w:bookmarkStart w:id="24" w:name="_Toc25392406"/>
      <w:bookmarkStart w:id="25" w:name="_Toc9010"/>
      <w:bookmarkStart w:id="26" w:name="_Toc25393033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3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临时工程环境保护措施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便道的修建，要尽量不占或少占农田，做好土石方调配方案，减少弃土、取土，修筑好便道两侧的排水系统，保证地表径流的畅通，减少和避免边坡的冲刷。在可能的条件下，便道尽量考虑与乡村道路相结合，以减少水土流失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生产、生活设施修建，要尽量避免对植被的破坏。施工、生活场地范围内要做好集水、排水工作，不阻塞地面径流自然通道，防止壅水和场地冲刷。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施工中修建的临时设施，工程交验后必须在规定的时间内予以拆除，并尽可能恢复原有地形、地貌。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27" w:name="_Toc25392407"/>
      <w:bookmarkStart w:id="28" w:name="_Toc25393239"/>
      <w:bookmarkStart w:id="29" w:name="_Toc25393034"/>
      <w:bookmarkStart w:id="30" w:name="_Toc25392823"/>
      <w:bookmarkStart w:id="31" w:name="_Toc25392618"/>
      <w:bookmarkStart w:id="32" w:name="_Toc27908"/>
      <w:bookmarkStart w:id="33" w:name="_Toc22866"/>
      <w:bookmarkStart w:id="34" w:name="_Toc2469"/>
      <w:bookmarkStart w:id="35" w:name="_Toc6307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4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生活区环境保护措施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生活区临时工程的修建，本着方便生活、利于生产，少占农田及植被地的原则，统筹安排，合理选址，并上报当地土地、环保部门审批，主动接受监督检查。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生活区要相对集中，选择避风向阳，交通方便距水源近的地段修建，设公共卫生间。集中建垃圾站、废水净化池、化粪池，按照环保部门的要求，定期清理，避免生活垃圾污染环境。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临时工程修建、拆除时产生的废弃物，按当地环保部门的要求，弃于指定的地点处理。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36" w:name="_Toc22925"/>
      <w:bookmarkStart w:id="37" w:name="_Toc25392824"/>
      <w:bookmarkStart w:id="38" w:name="_Toc25392619"/>
      <w:bookmarkStart w:id="39" w:name="_Toc32001"/>
      <w:bookmarkStart w:id="40" w:name="_Toc6439"/>
      <w:bookmarkStart w:id="41" w:name="_Toc25392408"/>
      <w:bookmarkStart w:id="42" w:name="_Toc25393240"/>
      <w:bookmarkStart w:id="43" w:name="_Toc469"/>
      <w:bookmarkStart w:id="44" w:name="_Toc25393035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5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植被保护措施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自觉执行和接受国家、浙江省及当地野生动植物保护部门的监督和检查，精心保护原有植被。对标段界内的有价值植物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eastAsia="zh-CN"/>
        </w:rPr>
        <w:t>做到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尽力维护，必要时采取迁移保护，工程完工后恢复。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严禁施工人员随意采挖野生植物，如发现有珍稀植物时，立即进行移栽保护并上报有关部门。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制定严格的管理制度，限制施工人员和车辆的活动范围，施工机械、运输车辆等按规定线路行驶，在划定的范围内作业，严禁碾压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eastAsia="zh-CN"/>
        </w:rPr>
        <w:t>破坏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植被。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45" w:name="_Toc25682"/>
      <w:bookmarkStart w:id="46" w:name="_Toc7263"/>
      <w:bookmarkStart w:id="47" w:name="_Toc25393036"/>
      <w:bookmarkStart w:id="48" w:name="_Toc25392825"/>
      <w:bookmarkStart w:id="49" w:name="_Toc25392620"/>
      <w:bookmarkStart w:id="50" w:name="_Toc25392409"/>
      <w:bookmarkStart w:id="51" w:name="_Toc13450"/>
      <w:bookmarkStart w:id="52" w:name="_Toc2970"/>
      <w:bookmarkStart w:id="53" w:name="_Toc25393241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6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施工中的环境保护措施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注意夜间施工的噪音影响，尽量采用低噪音施工设备。对距离居民区100m以内的工程，则应根据需要限定施工时间。少数高噪音设备尽可能不在夜间施工作业，必须在夜间从事有噪音污染的施工应先通知附近居民，以征得附近居民的理解，如有可能采取限时作业措施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对不符合尾气排放标准的机械设备，不能使用。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做好当地水系、植被的保护工作，在施工时对路基边坡及时进行防护与植被绿化，施工车辆不得越界行驶，以免碾坏植被、庄稼、乡村道路等。</w:t>
      </w:r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路基工程中使用的石灰材料，采用覆盖。场地即时进行清扫，以防粉尘被风吹扬。凡对环境有污染的废物，如挖方弃土、建筑垃圾、生产垃圾、废弃材料等，弃在指定地点处理。在桥涵施工时各种材料、机械不得随意堆放，破坏植被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及时掌握天气的变化情况及当地的汛情，提前做好河道清淤、畅通工作，路基成形后必须及时做好路基护坡，完善两侧排水沟等附属工程。钻孔桩泥浆经沉淀处理后定点排放，不得直接排入河流。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bookmarkStart w:id="54" w:name="_Toc25392410"/>
      <w:bookmarkStart w:id="55" w:name="_Toc25392621"/>
      <w:bookmarkStart w:id="56" w:name="_Toc23533"/>
      <w:bookmarkStart w:id="57" w:name="_Toc13292"/>
      <w:bookmarkStart w:id="58" w:name="_Toc28769"/>
      <w:bookmarkStart w:id="59" w:name="_Toc25392826"/>
      <w:bookmarkStart w:id="60" w:name="_Toc25393037"/>
      <w:bookmarkStart w:id="61" w:name="_Toc20301"/>
      <w:bookmarkStart w:id="62" w:name="_Toc25393242"/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7</w:t>
      </w: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竣工中的环保措施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7"/>
        <w:ind w:firstLine="600" w:firstLineChars="20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完工清场工作依据完工一段、清理一段、防护一段的工作原则进行。每当一段工程完工之后，对现场施工临时工程进行拆除，拆除的废物运至弃土场。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清场工作加强对施工过程中遗留的污染源进行彻底调查，对固体污染物运至当地环保部门指定的垃圾场进行掩埋，不得就地处理。严禁现场焚烧固体污染物。</w:t>
      </w:r>
    </w:p>
    <w:p>
      <w:pPr>
        <w:pStyle w:val="7"/>
        <w:ind w:firstLine="0" w:firstLineChars="0"/>
        <w:rPr>
          <w:rFonts w:hint="eastAsia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临时用地工程进行复耕还种处理，并对施工过程中破坏原有植被的区域进行绿化。</w:t>
      </w:r>
    </w:p>
    <w:p>
      <w:pPr>
        <w:pStyle w:val="7"/>
        <w:ind w:firstLine="600" w:firstLineChars="200"/>
        <w:rPr>
          <w:rFonts w:hint="default"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完工清场工作由负责本段工程的责任人执行，监督、检查完工清场工作情况，并将完工清场工作过程记录归档。</w:t>
      </w:r>
      <w:r>
        <w:rPr>
          <w:rFonts w:hint="default" w:ascii="仿宋_GB2312" w:hAnsi="Times New Roman" w:eastAsia="仿宋_GB2312" w:cs="Times New Roman"/>
          <w:bCs/>
          <w:sz w:val="30"/>
          <w:szCs w:val="30"/>
        </w:rPr>
        <w:t xml:space="preserve">  </w:t>
      </w:r>
    </w:p>
    <w:p>
      <w:pPr>
        <w:pStyle w:val="7"/>
        <w:ind w:firstLine="422" w:firstLineChars="200"/>
        <w:jc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噪声源减噪措施表</w:t>
      </w:r>
    </w:p>
    <w:tbl>
      <w:tblPr>
        <w:tblStyle w:val="5"/>
        <w:tblW w:w="7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94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tblHeader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声源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控制措施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减噪效果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dB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敲打、撞击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加强性垫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打桩用替打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机械转动部件动态不平衡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进行平衡调整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整机振动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加隔振机座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强性耦合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机械部件振动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使用阻尼装置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管道振动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包覆、使用阻尼装置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机壳振动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包覆、安装隔声罩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电机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安装隔声罩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烧嘴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安装消音器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进气、排气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安装消音器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摩擦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用润滑油，采用耦合装置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齿轮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隔声罩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10-20</w:t>
            </w:r>
          </w:p>
        </w:tc>
      </w:tr>
    </w:tbl>
    <w:p>
      <w:pPr>
        <w:pStyle w:val="7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5、开工时间</w:t>
      </w:r>
    </w:p>
    <w:p>
      <w:pPr>
        <w:pStyle w:val="7"/>
        <w:ind w:firstLine="0" w:firstLineChars="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</w:rPr>
        <w:t>开工令下发时间：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2020年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</w:t>
      </w:r>
    </w:p>
    <w:p>
      <w:pPr>
        <w:pStyle w:val="7"/>
        <w:ind w:firstLine="0" w:firstLineChars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6、工期</w:t>
      </w:r>
    </w:p>
    <w:p>
      <w:pPr>
        <w:pStyle w:val="7"/>
        <w:ind w:firstLine="0" w:firstLineChars="0"/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计划开工日期：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7"/>
        <w:ind w:firstLine="0" w:firstLineChars="0"/>
        <w:rPr>
          <w:rFonts w:hint="eastAsia"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计划交工日期：202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13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</w:t>
      </w:r>
    </w:p>
    <w:p>
      <w:pPr>
        <w:pStyle w:val="7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4524"/>
    <w:rsid w:val="318C08A6"/>
    <w:rsid w:val="51B901F7"/>
    <w:rsid w:val="548D77E0"/>
    <w:rsid w:val="730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spacing w:line="360" w:lineRule="auto"/>
      <w:ind w:firstLine="480" w:firstLineChars="200"/>
      <w:outlineLvl w:val="2"/>
    </w:pPr>
    <w:rPr>
      <w:rFonts w:ascii="黑体" w:hAnsi="黑体"/>
      <w:b/>
      <w:kern w:val="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 w:line="240" w:lineRule="auto"/>
    </w:pPr>
  </w:style>
  <w:style w:type="paragraph" w:styleId="3">
    <w:name w:val="Subtitle"/>
    <w:basedOn w:val="1"/>
    <w:next w:val="1"/>
    <w:qFormat/>
    <w:uiPriority w:val="0"/>
    <w:pPr>
      <w:widowControl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7">
    <w:name w:val="正文缩2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8">
    <w:name w:val="正文一"/>
    <w:basedOn w:val="1"/>
    <w:qFormat/>
    <w:uiPriority w:val="0"/>
    <w:pPr>
      <w:spacing w:line="360" w:lineRule="auto"/>
      <w:ind w:firstLine="480" w:firstLineChars="200"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2020-03-27T02:34:00Z</dcterms:created>
  <dc:creator>Administrator</dc:creator>
  <cp:lastModifiedBy>刘宇鑫❤</cp:lastModifiedBy>
  <dcterms:modified xsi:type="dcterms:W3CDTF">2020-05-09T07:53:26Z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