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>
      <w:pPr>
        <w:spacing w:before="0" w:line="560" w:lineRule="exact"/>
        <w:ind w:firstLine="0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2</w:t>
      </w:r>
    </w:p>
    <w:tbl>
      <w:tblPr>
        <w:tblStyle w:val="TableNormal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75"/>
        <w:gridCol w:w="541"/>
        <w:gridCol w:w="594"/>
        <w:gridCol w:w="1750"/>
        <w:gridCol w:w="1660"/>
        <w:gridCol w:w="157"/>
        <w:gridCol w:w="1789"/>
      </w:tblGrid>
      <w:tr>
        <w:tblPrEx>
          <w:tblW w:w="0" w:type="auto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8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spacing w:beforeLines="0"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学生资助补助经费绩效目标表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8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Style w:val="font101"/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Ansi="楷体_GB2312" w:cs="楷体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Style w:val="font11"/>
                <w:rFonts w:ascii="楷体_GB2312" w:eastAsia="楷体_GB2312" w:hAnsi="楷体_GB2312" w:cs="楷体_GB2312"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Style w:val="font81"/>
                <w:rFonts w:ascii="楷体_GB2312" w:eastAsia="楷体_GB2312" w:hAnsi="楷体_GB2312" w:cs="楷体_GB2312"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Style w:val="font41"/>
                <w:rFonts w:ascii="楷体_GB2312" w:eastAsia="楷体_GB2312" w:hAnsi="楷体_GB2312" w:cs="楷体_GB2312" w:hint="eastAsia"/>
                <w:sz w:val="28"/>
                <w:szCs w:val="28"/>
                <w:lang w:val="en-US" w:eastAsia="zh-CN"/>
              </w:rPr>
              <w:t>年度</w:t>
            </w:r>
            <w:r>
              <w:rPr>
                <w:rStyle w:val="font01"/>
                <w:rFonts w:ascii="楷体_GB2312" w:eastAsia="楷体_GB2312" w:hAnsi="楷体_GB2312" w:cs="楷体_GB2312" w:hint="eastAsia"/>
                <w:sz w:val="28"/>
                <w:szCs w:val="28"/>
                <w:lang w:val="en-US" w:eastAsia="zh-CN"/>
              </w:rPr>
              <w:t>）</w:t>
            </w:r>
            <w:r>
              <w:rPr>
                <w:rStyle w:val="font101"/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righ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font101"/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 xml:space="preserve">                          单位：万元      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专项名称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学生资助补助经费（提前下达）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中央主管部门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财政部、教育部、人力资源部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省级主管部门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浙江省财政厅 浙江省教育厅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实施地区（学校）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资金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情况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年度金额：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其中：中央补助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省级资金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地方资金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LrV"/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113" w:right="113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总体目标</w:t>
            </w:r>
          </w:p>
        </w:tc>
        <w:tc>
          <w:tcPr>
            <w:tcW w:w="7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line="260" w:lineRule="exact"/>
              <w:ind w:left="0" w:right="0" w:firstLine="0" w:leftChars="0" w:firstLineChars="0"/>
              <w:jc w:val="left"/>
              <w:textAlignment w:val="center"/>
              <w:outlineLvl w:val="9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目标1：高中阶段教育各项国家资助政策按规定得到落实；</w:t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目标2：激励中等职业学校学生勤奋学习、努力进取，提高学生思想道德素质和专业技能水平；</w:t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目标3：高等学校各项国家资助政策按规定得到落实;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目标4：满足家庭经济困难学生基本学习生活需要；</w:t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/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目标5：激励引导高校学生应征入伍，为退役士兵接受高等教育提供更多机会，提升就业竞争力。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LrV"/>
            <w:tcFitText/>
            <w:vAlign w:val="center"/>
          </w:tcPr>
          <w:p>
            <w:pPr>
              <w:widowControl/>
              <w:wordWrap/>
              <w:adjustRightInd/>
              <w:snapToGrid/>
              <w:spacing w:beforeLines="0" w:line="200" w:lineRule="exact"/>
              <w:ind w:left="113" w:right="113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绩效指标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beforeLines="0" w:line="2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一级指标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beforeLines="0" w:line="2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二级指标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beforeLines="0" w:line="2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三级指标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beforeLines="0" w:line="2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指标值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产出指标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数量指标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普通高中国家助学金应受助学生受助比例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default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普通高中免学杂费应受助学生受助比例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中职国家助学金应受助学生受助比例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中职免学费应受助学生受助比例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中职国家奖学金奖励人数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本专科生国家奖学金奖励人数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本专科生国家励志奖学金奖励人数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default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本专科生国家助学金资助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default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本专科生省政府奖学金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奖励人数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研究生国家奖学金奖励人数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研究生国家助学金资助人数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按下达名额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退役士兵考入高校应受助学生享受资助比例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质量指标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学生资助管理信息系统对中职免学费资助学生识别率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  <w:t>≥</w:t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高校毕业生应征入伍应受助学生享受资助比例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时效指标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奖助学金按规定及时发放率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效益指标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社会效益指标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在普通高中及中职国家助学金名额分配时，适当向农村地区、贫困地区和民族地区倾斜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分配本专科国家助学金时，是否按规定适当向民族院校或水平较高的高校、农林水地矿油等专业为主的高校倾斜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满意度指标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服务对象满意度指标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师生满意度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  <w:t>≥</w:t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85%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家长满意度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cFitText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</w:rPr>
              <w:t>≥</w:t>
            </w:r>
            <w:r>
              <w:rPr>
                <w:rFonts w:ascii="仿宋_GB2312" w:eastAsia="仿宋_GB2312" w:hAnsi="仿宋_GB2312" w:cs="仿宋_GB2312" w:hint="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85%</w:t>
            </w:r>
          </w:p>
        </w:tc>
      </w:tr>
    </w:tbl>
    <w:p>
      <w:pPr>
        <w:spacing w:beforeLines="0" w:afterLines="0" w:line="20" w:lineRule="exact"/>
      </w:pPr>
    </w:p>
    <w:sectPr>
      <w:pgSz w:w="11906" w:h="16838"/>
      <w:pgMar w:top="1440" w:right="1800" w:bottom="1157" w:left="1800" w:header="851" w:footer="992" w:gutter="0"/>
      <w:cols w:num="1" w:space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书宋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hruti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4B0E6D"/>
    <w:rsid w:val="2CB74FB6"/>
    <w:rsid w:val="3A762EBB"/>
    <w:rsid w:val="3E4C5ACA"/>
    <w:rsid w:val="46E30EF9"/>
    <w:rsid w:val="49F756FB"/>
    <w:rsid w:val="52D15B1F"/>
    <w:rsid w:val="65625703"/>
    <w:rsid w:val="6CB01C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 w:qFormat="1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uiPriority="0" w:unhideWhenUsed="0"/>
    <w:lsdException w:name="Table Grid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FootnoteText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qFormat/>
    <w:pPr>
      <w:snapToGrid w:val="0"/>
      <w:jc w:val="left"/>
    </w:pPr>
    <w:rPr>
      <w:sz w:val="18"/>
    </w:rPr>
  </w:style>
  <w:style w:type="paragraph" w:customStyle="1" w:styleId="a">
    <w:name w:val="一级标题"/>
    <w:basedOn w:val="Heading1"/>
    <w:qFormat/>
    <w:rPr>
      <w:rFonts w:ascii="宋体" w:eastAsia="黑体" w:hAnsi="宋体"/>
      <w:b w:val="0"/>
      <w:sz w:val="32"/>
    </w:rPr>
  </w:style>
  <w:style w:type="character" w:customStyle="1" w:styleId="font11">
    <w:name w:val="font11"/>
    <w:basedOn w:val="DefaultParagraphFont"/>
    <w:qFormat/>
    <w:rPr>
      <w:rFonts w:ascii="MingLiU-ExtB" w:eastAsia="MingLiU-ExtB" w:hAnsi="MingLiU-ExtB" w:cs="MingLiU-ExtB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DefaultParagraphFont"/>
    <w:qFormat/>
    <w:rPr>
      <w:rFonts w:ascii="MingLiU-ExtB" w:eastAsia="MingLiU-ExtB" w:hAnsi="MingLiU-ExtB" w:cs="MingLiU-ExtB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骆亦奇</dc:creator>
  <cp:lastModifiedBy>吴亚男</cp:lastModifiedBy>
  <cp:revision>0</cp:revision>
  <cp:lastPrinted>2021-06-01T06:03:00Z</cp:lastPrinted>
  <dcterms:created xsi:type="dcterms:W3CDTF">2021-05-14T08:04:00Z</dcterms:created>
  <dcterms:modified xsi:type="dcterms:W3CDTF">2021-06-04T07:41:53Z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