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sz w:val="36"/>
          <w:szCs w:val="36"/>
        </w:rPr>
      </w:pPr>
      <w:r>
        <w:rPr>
          <w:rFonts w:hint="eastAsia" w:asciiTheme="majorEastAsia" w:hAnsiTheme="majorEastAsia" w:eastAsiaTheme="majorEastAsia"/>
          <w:sz w:val="36"/>
          <w:szCs w:val="36"/>
        </w:rPr>
        <w:t>附件1：</w:t>
      </w:r>
    </w:p>
    <w:p>
      <w:pPr>
        <w:jc w:val="center"/>
        <w:rPr>
          <w:rFonts w:asciiTheme="majorEastAsia" w:hAnsiTheme="majorEastAsia" w:eastAsiaTheme="majorEastAsia"/>
          <w:sz w:val="36"/>
          <w:szCs w:val="36"/>
        </w:rPr>
      </w:pPr>
      <w:bookmarkStart w:id="0" w:name="_GoBack"/>
      <w:r>
        <w:rPr>
          <w:rFonts w:hint="eastAsia" w:asciiTheme="majorEastAsia" w:hAnsiTheme="majorEastAsia" w:eastAsiaTheme="majorEastAsia"/>
          <w:sz w:val="36"/>
          <w:szCs w:val="36"/>
        </w:rPr>
        <w:t>杭州市医疗保障局继续有效行政规范性文件目录</w:t>
      </w:r>
      <w:bookmarkEnd w:id="0"/>
    </w:p>
    <w:tbl>
      <w:tblPr>
        <w:tblStyle w:val="5"/>
        <w:tblpPr w:leftFromText="180" w:rightFromText="180" w:vertAnchor="text" w:horzAnchor="margin" w:tblpXSpec="center" w:tblpY="299"/>
        <w:tblW w:w="9335" w:type="dxa"/>
        <w:tblInd w:w="0" w:type="dxa"/>
        <w:tblLayout w:type="fixed"/>
        <w:tblCellMar>
          <w:top w:w="0" w:type="dxa"/>
          <w:left w:w="108" w:type="dxa"/>
          <w:bottom w:w="0" w:type="dxa"/>
          <w:right w:w="108" w:type="dxa"/>
        </w:tblCellMar>
      </w:tblPr>
      <w:tblGrid>
        <w:gridCol w:w="644"/>
        <w:gridCol w:w="5785"/>
        <w:gridCol w:w="2906"/>
      </w:tblGrid>
      <w:tr>
        <w:tblPrEx>
          <w:tblLayout w:type="fixed"/>
          <w:tblCellMar>
            <w:top w:w="0" w:type="dxa"/>
            <w:left w:w="108" w:type="dxa"/>
            <w:bottom w:w="0" w:type="dxa"/>
            <w:right w:w="108" w:type="dxa"/>
          </w:tblCellMar>
        </w:tblPrEx>
        <w:trPr>
          <w:trHeight w:val="941" w:hRule="atLeast"/>
        </w:trPr>
        <w:tc>
          <w:tcPr>
            <w:tcW w:w="64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578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文件名称</w:t>
            </w:r>
          </w:p>
        </w:tc>
        <w:tc>
          <w:tcPr>
            <w:tcW w:w="29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 杭州市卫生局 杭州市财政局关于杭州市职工生育医疗费计划生育手术费支付标准的通知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杭劳社工伤〔2006〕290号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 杭州市人事局 杭州市财政局关于调整杭州市市级机关事业单位自缴级离休干部和子女统筹医疗收费标准的通知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杭劳社医〔2008〕26号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杭州市劳动和社会保障局关于放开杭州市本级机关事业单位子女统筹医疗定点管理的通知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杭劳社医〔2009〕148号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杭州市劳动和社会保障局关于做好浙江省基本医疗保险、工伤保险和生育保险药品目录实施工作的通知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杭劳社医〔2010〕195号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 杭州市财政局关于调整杭州市本级离休干部安装心脏起搏器报销标准的通知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杭劳社医〔2011〕93号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 杭州市财政局关于新生儿参加城乡居民基本医疗保险有关问题的通知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杭人社发〔2011〕122号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7</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杭州市劳动和社会保障局关于妥善解决社会保险重复参保有关问题的通知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杭劳社医〔2011〕148号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8</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 杭州市民政局 杭州市财政局关于进一步完善一至六级残疾军人医疗费用管理办法的通知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杭人社发〔2011〕165号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9</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杭州市人力资源和社会保障局关于做好杭州市离休干部医疗保障“一卡通”工作的通知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杭人社发〔2011〕270号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10</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杭州市人力资源和社会保障局关于我市入选浙江省有突出贡献中青年专家和享受国务院特殊津贴人员办理医疗保健托管事宜的通知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杭人社发〔2012〕436号</w:t>
            </w:r>
          </w:p>
        </w:tc>
      </w:tr>
      <w:tr>
        <w:tblPrEx>
          <w:tblLayout w:type="fixed"/>
          <w:tblCellMar>
            <w:top w:w="0" w:type="dxa"/>
            <w:left w:w="108" w:type="dxa"/>
            <w:bottom w:w="0" w:type="dxa"/>
            <w:right w:w="108" w:type="dxa"/>
          </w:tblCellMar>
        </w:tblPrEx>
        <w:trPr>
          <w:trHeight w:val="941" w:hRule="atLeast"/>
        </w:trPr>
        <w:tc>
          <w:tcPr>
            <w:tcW w:w="64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11</w:t>
            </w:r>
          </w:p>
        </w:tc>
        <w:tc>
          <w:tcPr>
            <w:tcW w:w="578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杭州市人力资源和社会保障局关于适当调整造口袋基本医疗保险支付标准的通知</w:t>
            </w:r>
          </w:p>
        </w:tc>
        <w:tc>
          <w:tcPr>
            <w:tcW w:w="2906"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杭人社发〔2012〕983号</w:t>
            </w:r>
          </w:p>
        </w:tc>
      </w:tr>
    </w:tbl>
    <w:p>
      <w:pPr>
        <w:spacing w:line="280" w:lineRule="exact"/>
        <w:rPr>
          <w:rFonts w:ascii="仿宋" w:hAnsi="仿宋" w:eastAsia="仿宋"/>
          <w:sz w:val="32"/>
          <w:szCs w:val="32"/>
        </w:rPr>
      </w:pPr>
    </w:p>
    <w:p>
      <w:pPr>
        <w:spacing w:line="280" w:lineRule="exact"/>
        <w:rPr>
          <w:rFonts w:ascii="仿宋" w:hAnsi="仿宋" w:eastAsia="仿宋"/>
          <w:sz w:val="32"/>
          <w:szCs w:val="32"/>
        </w:rPr>
      </w:pPr>
    </w:p>
    <w:p>
      <w:pPr>
        <w:spacing w:line="280" w:lineRule="exact"/>
        <w:rPr>
          <w:rFonts w:ascii="仿宋" w:hAnsi="仿宋" w:eastAsia="仿宋"/>
          <w:sz w:val="32"/>
          <w:szCs w:val="32"/>
        </w:rPr>
      </w:pPr>
    </w:p>
    <w:tbl>
      <w:tblPr>
        <w:tblStyle w:val="6"/>
        <w:tblW w:w="9322" w:type="dxa"/>
        <w:tblInd w:w="-4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1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trPr>
        <w:tc>
          <w:tcPr>
            <w:tcW w:w="675" w:type="dxa"/>
            <w:vAlign w:val="center"/>
          </w:tcPr>
          <w:p>
            <w:pPr>
              <w:spacing w:line="480" w:lineRule="exact"/>
              <w:jc w:val="center"/>
              <w:rPr>
                <w:rFonts w:ascii="黑体" w:hAnsi="黑体" w:eastAsia="黑体"/>
                <w:sz w:val="28"/>
                <w:szCs w:val="28"/>
              </w:rPr>
            </w:pPr>
            <w:r>
              <w:rPr>
                <w:rFonts w:hint="eastAsia" w:ascii="黑体" w:hAnsi="黑体" w:eastAsia="黑体"/>
                <w:sz w:val="28"/>
                <w:szCs w:val="28"/>
              </w:rPr>
              <w:t>序号</w:t>
            </w:r>
          </w:p>
        </w:tc>
        <w:tc>
          <w:tcPr>
            <w:tcW w:w="5812" w:type="dxa"/>
            <w:vAlign w:val="center"/>
          </w:tcPr>
          <w:p>
            <w:pPr>
              <w:spacing w:line="480" w:lineRule="exact"/>
              <w:jc w:val="center"/>
              <w:rPr>
                <w:rFonts w:ascii="黑体" w:hAnsi="黑体" w:eastAsia="黑体"/>
                <w:sz w:val="28"/>
                <w:szCs w:val="28"/>
              </w:rPr>
            </w:pPr>
            <w:r>
              <w:rPr>
                <w:rFonts w:hint="eastAsia" w:ascii="黑体" w:hAnsi="黑体" w:eastAsia="黑体"/>
                <w:sz w:val="28"/>
                <w:szCs w:val="28"/>
              </w:rPr>
              <w:t>文件名称</w:t>
            </w:r>
          </w:p>
        </w:tc>
        <w:tc>
          <w:tcPr>
            <w:tcW w:w="2835" w:type="dxa"/>
            <w:vAlign w:val="center"/>
          </w:tcPr>
          <w:p>
            <w:pPr>
              <w:spacing w:line="480" w:lineRule="exact"/>
              <w:jc w:val="center"/>
              <w:rPr>
                <w:rFonts w:ascii="黑体" w:hAnsi="黑体" w:eastAsia="黑体"/>
                <w:sz w:val="28"/>
                <w:szCs w:val="28"/>
              </w:rPr>
            </w:pPr>
            <w:r>
              <w:rPr>
                <w:rFonts w:hint="eastAsia" w:ascii="黑体" w:hAnsi="黑体" w:eastAsia="黑体"/>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12</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杭州市人力资源和社会保障局 杭州市财政局 杭州市地方税务局关于调整杭州市主城区职工生育保险缴费比例的通知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杭人社发〔2013〕479号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13</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杭州市人力资源和社会保障局关于印发《杭州市基本医疗保险门诊透析费用结算管理办法》的通知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杭人社发〔2013〕621号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14</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杭州市人力资源和社会保障局 杭州市财政局关于调整杭州市主城区部分医疗照顾对象医疗补助办法的通知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杭人社发〔2014〕66号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15</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杭州市人力资源和社会保障局 杭州市卫生和计划生育委员会关于印发杭州市主城区基本医疗保险医疗康复护理费用结算管理办法（试行）的通知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杭人社发〔2014〕409号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16</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杭州市人力资源和社会保障局 杭州市民政局 杭州市财政局关于适当调整一至六级残疾军人医疗补助资金支付范围的通知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杭人社发〔2014〕483号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17</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关于开展主城区特殊药品大病保险工作的通知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杭人社发[2015]168号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18</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关于印发《杭州市基本医疗保险定点医药机构协议管理办法》的通知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杭人社发[2016]196号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19</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关于进一步推进医保定点医药机构同城互认有关工作的通知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杭人社发[2016]290号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20</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关于进一步调整完善杭州市基本医疗保险个人账户历年资金使用有关政策的通知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杭人社发[2016]360号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21</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关于印发《杭州市市级疾病应急救助基金操作办法》的通知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杭人社发[2016]367号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22</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关于贯彻落实浙江省人力资源和社会保障厅等4部门关于进一步完善慢性病门诊医保政策有关事项的通知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杭人社发[2017]268号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5" w:hRule="atLeast"/>
        </w:trPr>
        <w:tc>
          <w:tcPr>
            <w:tcW w:w="675" w:type="dxa"/>
            <w:vAlign w:val="center"/>
          </w:tcPr>
          <w:p>
            <w:pPr>
              <w:spacing w:line="480" w:lineRule="exact"/>
              <w:jc w:val="center"/>
              <w:rPr>
                <w:rFonts w:ascii="仿宋" w:hAnsi="仿宋" w:eastAsia="仿宋"/>
                <w:szCs w:val="21"/>
              </w:rPr>
            </w:pPr>
            <w:r>
              <w:rPr>
                <w:rFonts w:hint="eastAsia" w:ascii="仿宋" w:hAnsi="仿宋" w:eastAsia="仿宋"/>
                <w:szCs w:val="21"/>
              </w:rPr>
              <w:t>23</w:t>
            </w:r>
          </w:p>
        </w:tc>
        <w:tc>
          <w:tcPr>
            <w:tcW w:w="5812" w:type="dxa"/>
            <w:vAlign w:val="center"/>
          </w:tcPr>
          <w:p>
            <w:pPr>
              <w:spacing w:line="480" w:lineRule="exact"/>
              <w:rPr>
                <w:rFonts w:ascii="仿宋" w:hAnsi="仿宋" w:eastAsia="仿宋"/>
                <w:szCs w:val="21"/>
              </w:rPr>
            </w:pPr>
            <w:r>
              <w:rPr>
                <w:rFonts w:hint="eastAsia" w:ascii="仿宋" w:hAnsi="仿宋" w:eastAsia="仿宋"/>
                <w:szCs w:val="21"/>
              </w:rPr>
              <w:t>关于推进杭州市长期照护统一需求评估标准体系建设的通知</w:t>
            </w:r>
          </w:p>
        </w:tc>
        <w:tc>
          <w:tcPr>
            <w:tcW w:w="2835" w:type="dxa"/>
            <w:vAlign w:val="center"/>
          </w:tcPr>
          <w:p>
            <w:pPr>
              <w:spacing w:line="480" w:lineRule="exact"/>
              <w:jc w:val="center"/>
              <w:rPr>
                <w:rFonts w:ascii="仿宋" w:hAnsi="仿宋" w:eastAsia="仿宋"/>
                <w:szCs w:val="21"/>
              </w:rPr>
            </w:pPr>
            <w:r>
              <w:rPr>
                <w:rFonts w:hint="eastAsia" w:ascii="仿宋" w:hAnsi="仿宋" w:eastAsia="仿宋"/>
                <w:szCs w:val="21"/>
              </w:rPr>
              <w:t>杭人社发〔2018〕262号</w:t>
            </w:r>
          </w:p>
        </w:tc>
      </w:tr>
    </w:tbl>
    <w:p>
      <w:pPr>
        <w:spacing w:line="280" w:lineRule="exact"/>
        <w:rPr>
          <w:rFonts w:ascii="仿宋" w:hAnsi="仿宋" w:eastAsia="仿宋"/>
          <w:szCs w:val="21"/>
        </w:rPr>
      </w:pPr>
    </w:p>
    <w:p>
      <w:pPr>
        <w:spacing w:line="280" w:lineRule="exact"/>
        <w:rPr>
          <w:rFonts w:ascii="仿宋" w:hAnsi="仿宋" w:eastAsia="仿宋"/>
          <w:szCs w:val="21"/>
        </w:rPr>
      </w:pPr>
    </w:p>
    <w:p>
      <w:pPr>
        <w:spacing w:line="600" w:lineRule="exact"/>
        <w:rPr>
          <w:rFonts w:asciiTheme="minorEastAsia" w:hAnsiTheme="minorEastAsia"/>
          <w:sz w:val="36"/>
          <w:szCs w:val="36"/>
        </w:rPr>
      </w:pPr>
      <w:r>
        <w:rPr>
          <w:rFonts w:hint="eastAsia" w:asciiTheme="minorEastAsia" w:hAnsiTheme="minorEastAsia"/>
          <w:sz w:val="36"/>
          <w:szCs w:val="36"/>
        </w:rPr>
        <w:t>附件2：</w:t>
      </w:r>
    </w:p>
    <w:p>
      <w:pPr>
        <w:spacing w:line="600" w:lineRule="exact"/>
        <w:jc w:val="center"/>
        <w:rPr>
          <w:rFonts w:asciiTheme="minorEastAsia" w:hAnsiTheme="minorEastAsia"/>
          <w:sz w:val="36"/>
          <w:szCs w:val="36"/>
        </w:rPr>
      </w:pPr>
      <w:r>
        <w:rPr>
          <w:rFonts w:hint="eastAsia" w:asciiTheme="minorEastAsia" w:hAnsiTheme="minorEastAsia"/>
          <w:sz w:val="36"/>
          <w:szCs w:val="36"/>
        </w:rPr>
        <w:t>杭州市医疗保障局废止失效行政规范性文件目录</w:t>
      </w:r>
    </w:p>
    <w:p>
      <w:pPr>
        <w:spacing w:line="600" w:lineRule="exact"/>
        <w:jc w:val="center"/>
        <w:rPr>
          <w:rFonts w:ascii="仿宋" w:hAnsi="仿宋" w:eastAsia="仿宋"/>
          <w:sz w:val="32"/>
          <w:szCs w:val="32"/>
        </w:rPr>
      </w:pPr>
    </w:p>
    <w:tbl>
      <w:tblPr>
        <w:tblStyle w:val="5"/>
        <w:tblW w:w="8755" w:type="dxa"/>
        <w:tblInd w:w="0" w:type="dxa"/>
        <w:tblLayout w:type="fixed"/>
        <w:tblCellMar>
          <w:top w:w="0" w:type="dxa"/>
          <w:left w:w="108" w:type="dxa"/>
          <w:bottom w:w="0" w:type="dxa"/>
          <w:right w:w="108" w:type="dxa"/>
        </w:tblCellMar>
      </w:tblPr>
      <w:tblGrid>
        <w:gridCol w:w="724"/>
        <w:gridCol w:w="2977"/>
        <w:gridCol w:w="2699"/>
        <w:gridCol w:w="2355"/>
      </w:tblGrid>
      <w:tr>
        <w:tblPrEx>
          <w:tblLayout w:type="fixed"/>
          <w:tblCellMar>
            <w:top w:w="0" w:type="dxa"/>
            <w:left w:w="108" w:type="dxa"/>
            <w:bottom w:w="0" w:type="dxa"/>
            <w:right w:w="108" w:type="dxa"/>
          </w:tblCellMar>
        </w:tblPrEx>
        <w:trPr>
          <w:trHeight w:val="390" w:hRule="atLeast"/>
        </w:trPr>
        <w:tc>
          <w:tcPr>
            <w:tcW w:w="72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序号</w:t>
            </w:r>
          </w:p>
        </w:tc>
        <w:tc>
          <w:tcPr>
            <w:tcW w:w="297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文件名称</w:t>
            </w:r>
          </w:p>
        </w:tc>
        <w:tc>
          <w:tcPr>
            <w:tcW w:w="2699"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文号</w:t>
            </w:r>
          </w:p>
        </w:tc>
        <w:tc>
          <w:tcPr>
            <w:tcW w:w="235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8"/>
                <w:szCs w:val="28"/>
              </w:rPr>
            </w:pPr>
            <w:r>
              <w:rPr>
                <w:rFonts w:hint="eastAsia" w:ascii="黑体" w:hAnsi="黑体" w:eastAsia="黑体" w:cs="宋体"/>
                <w:color w:val="000000"/>
                <w:kern w:val="0"/>
                <w:sz w:val="28"/>
                <w:szCs w:val="28"/>
              </w:rPr>
              <w:t>备注</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杭州市人力资源和社会保障局关于解决未参保集体企业退休人员医疗保险有关问题的通知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杭人社发〔2012〕57号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杭州市基本医疗保障办法(杭政[2017]64号）和杭州市基本医疗保障办法市区实施细则(杭政办[2017]6号)中已涵盖</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杭州市人力资源和社会保障局 杭州市食品药品监督管理局关于建立医保定点零售药店监督管理合作机制的通知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杭人社发〔2013〕422号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因机构改革原因，相关部门职能已作调整</w:t>
            </w:r>
          </w:p>
        </w:tc>
      </w:tr>
      <w:tr>
        <w:tblPrEx>
          <w:tblLayout w:type="fixed"/>
          <w:tblCellMar>
            <w:top w:w="0" w:type="dxa"/>
            <w:left w:w="108" w:type="dxa"/>
            <w:bottom w:w="0" w:type="dxa"/>
            <w:right w:w="108" w:type="dxa"/>
          </w:tblCellMar>
        </w:tblPrEx>
        <w:trPr>
          <w:trHeight w:val="1035" w:hRule="atLeast"/>
        </w:trPr>
        <w:tc>
          <w:tcPr>
            <w:tcW w:w="724"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2977"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关于将艾滋病列入我市基本医疗保险规定病种范围的通知</w:t>
            </w:r>
          </w:p>
        </w:tc>
        <w:tc>
          <w:tcPr>
            <w:tcW w:w="2699"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杭人社发[2015]178号</w:t>
            </w:r>
          </w:p>
        </w:tc>
        <w:tc>
          <w:tcPr>
            <w:tcW w:w="2355"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杭州市基本医疗保障办法(杭政[2017]64号）和杭州市基本医疗保障办法市区实施细则(杭政办[2017]6号)中已涵盖</w:t>
            </w:r>
          </w:p>
        </w:tc>
      </w:tr>
    </w:tbl>
    <w:p>
      <w:pPr>
        <w:spacing w:line="6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43"/>
    <w:rsid w:val="00053A1A"/>
    <w:rsid w:val="00065490"/>
    <w:rsid w:val="00075F81"/>
    <w:rsid w:val="000A2832"/>
    <w:rsid w:val="000A2B28"/>
    <w:rsid w:val="000A3837"/>
    <w:rsid w:val="000C08C7"/>
    <w:rsid w:val="000C5E02"/>
    <w:rsid w:val="000D5B2D"/>
    <w:rsid w:val="000E0193"/>
    <w:rsid w:val="001275BE"/>
    <w:rsid w:val="00151BF7"/>
    <w:rsid w:val="00156EB4"/>
    <w:rsid w:val="00160ACA"/>
    <w:rsid w:val="001B72DF"/>
    <w:rsid w:val="001C7B66"/>
    <w:rsid w:val="001E2FF2"/>
    <w:rsid w:val="001E6AB3"/>
    <w:rsid w:val="001F09C3"/>
    <w:rsid w:val="002434A7"/>
    <w:rsid w:val="00243D5F"/>
    <w:rsid w:val="00256AB3"/>
    <w:rsid w:val="0029069D"/>
    <w:rsid w:val="00291CA9"/>
    <w:rsid w:val="002C4E60"/>
    <w:rsid w:val="002D5634"/>
    <w:rsid w:val="00300A42"/>
    <w:rsid w:val="00311217"/>
    <w:rsid w:val="00315A58"/>
    <w:rsid w:val="003160CC"/>
    <w:rsid w:val="00327535"/>
    <w:rsid w:val="0035024D"/>
    <w:rsid w:val="00375C83"/>
    <w:rsid w:val="003864E2"/>
    <w:rsid w:val="00386E15"/>
    <w:rsid w:val="00387604"/>
    <w:rsid w:val="003879DA"/>
    <w:rsid w:val="003A1323"/>
    <w:rsid w:val="003C51E8"/>
    <w:rsid w:val="003E6A79"/>
    <w:rsid w:val="00414539"/>
    <w:rsid w:val="00437CAF"/>
    <w:rsid w:val="00454A4D"/>
    <w:rsid w:val="00482EBB"/>
    <w:rsid w:val="00485776"/>
    <w:rsid w:val="004B77E2"/>
    <w:rsid w:val="004C3365"/>
    <w:rsid w:val="004F7CAD"/>
    <w:rsid w:val="00507BF4"/>
    <w:rsid w:val="00526C26"/>
    <w:rsid w:val="00533799"/>
    <w:rsid w:val="0053576E"/>
    <w:rsid w:val="00535F0B"/>
    <w:rsid w:val="0056454A"/>
    <w:rsid w:val="005701EE"/>
    <w:rsid w:val="00584CF9"/>
    <w:rsid w:val="005A0767"/>
    <w:rsid w:val="005A6843"/>
    <w:rsid w:val="005C3620"/>
    <w:rsid w:val="005F467A"/>
    <w:rsid w:val="006105E2"/>
    <w:rsid w:val="00690508"/>
    <w:rsid w:val="006962D9"/>
    <w:rsid w:val="006A0DA4"/>
    <w:rsid w:val="006A52C9"/>
    <w:rsid w:val="006D6A5A"/>
    <w:rsid w:val="00706647"/>
    <w:rsid w:val="007809FA"/>
    <w:rsid w:val="007822FC"/>
    <w:rsid w:val="007922F7"/>
    <w:rsid w:val="00793165"/>
    <w:rsid w:val="007A0991"/>
    <w:rsid w:val="007A68A9"/>
    <w:rsid w:val="007B5090"/>
    <w:rsid w:val="007F4F13"/>
    <w:rsid w:val="008022FD"/>
    <w:rsid w:val="00806CDA"/>
    <w:rsid w:val="00812BED"/>
    <w:rsid w:val="00824C04"/>
    <w:rsid w:val="00831DF2"/>
    <w:rsid w:val="008447D0"/>
    <w:rsid w:val="0086046D"/>
    <w:rsid w:val="00872467"/>
    <w:rsid w:val="00873D18"/>
    <w:rsid w:val="008779A0"/>
    <w:rsid w:val="008A54E9"/>
    <w:rsid w:val="008A5B1E"/>
    <w:rsid w:val="008B2E20"/>
    <w:rsid w:val="008B3EED"/>
    <w:rsid w:val="008C5A48"/>
    <w:rsid w:val="008E4CB2"/>
    <w:rsid w:val="00902E2C"/>
    <w:rsid w:val="009407DA"/>
    <w:rsid w:val="00973888"/>
    <w:rsid w:val="0099479C"/>
    <w:rsid w:val="009973D4"/>
    <w:rsid w:val="009A0DA7"/>
    <w:rsid w:val="009A1265"/>
    <w:rsid w:val="009F1823"/>
    <w:rsid w:val="00A01128"/>
    <w:rsid w:val="00A06CE3"/>
    <w:rsid w:val="00A43FA7"/>
    <w:rsid w:val="00A53F8C"/>
    <w:rsid w:val="00A765EF"/>
    <w:rsid w:val="00A9301E"/>
    <w:rsid w:val="00AB2B16"/>
    <w:rsid w:val="00AE3B1B"/>
    <w:rsid w:val="00B4554B"/>
    <w:rsid w:val="00B64395"/>
    <w:rsid w:val="00B73107"/>
    <w:rsid w:val="00BA6B35"/>
    <w:rsid w:val="00BE383C"/>
    <w:rsid w:val="00C42F35"/>
    <w:rsid w:val="00C46D0C"/>
    <w:rsid w:val="00C90F9D"/>
    <w:rsid w:val="00C9109A"/>
    <w:rsid w:val="00CA7ED9"/>
    <w:rsid w:val="00CC18B2"/>
    <w:rsid w:val="00CC590C"/>
    <w:rsid w:val="00CD668D"/>
    <w:rsid w:val="00D01D0D"/>
    <w:rsid w:val="00D055BE"/>
    <w:rsid w:val="00D10800"/>
    <w:rsid w:val="00D379C7"/>
    <w:rsid w:val="00D55645"/>
    <w:rsid w:val="00D72AD3"/>
    <w:rsid w:val="00D76D3E"/>
    <w:rsid w:val="00D86219"/>
    <w:rsid w:val="00DA12C6"/>
    <w:rsid w:val="00DA14C5"/>
    <w:rsid w:val="00DD231E"/>
    <w:rsid w:val="00DD4A9B"/>
    <w:rsid w:val="00DE0F6B"/>
    <w:rsid w:val="00DF672D"/>
    <w:rsid w:val="00E27C86"/>
    <w:rsid w:val="00E32499"/>
    <w:rsid w:val="00E513D8"/>
    <w:rsid w:val="00E85164"/>
    <w:rsid w:val="00E8693D"/>
    <w:rsid w:val="00E951CC"/>
    <w:rsid w:val="00ED4361"/>
    <w:rsid w:val="00EF6DE0"/>
    <w:rsid w:val="00EF701A"/>
    <w:rsid w:val="00F314A5"/>
    <w:rsid w:val="00F34CE4"/>
    <w:rsid w:val="00F569D1"/>
    <w:rsid w:val="00F95E59"/>
    <w:rsid w:val="00FA447E"/>
    <w:rsid w:val="00FF5B75"/>
    <w:rsid w:val="38222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semiHidden/>
    <w:unhideWhenUsed/>
    <w:uiPriority w:val="99"/>
    <w:pPr>
      <w:ind w:left="100" w:leftChars="2500"/>
    </w:p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日期 Char"/>
    <w:basedOn w:val="7"/>
    <w:link w:val="2"/>
    <w:semiHidden/>
    <w:uiPriority w:val="99"/>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328</Words>
  <Characters>1875</Characters>
  <Lines>15</Lines>
  <Paragraphs>4</Paragraphs>
  <TotalTime>0</TotalTime>
  <ScaleCrop>false</ScaleCrop>
  <LinksUpToDate>false</LinksUpToDate>
  <CharactersWithSpaces>2199</CharactersWithSpaces>
  <Application>WPS Office_11.1.0.9031_F1E327BC-269C-435d-A152-05C5408002CA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2019-10-15T01:25:00Z</dcterms:created>
  <dc:creator>刘丹军</dc:creator>
  <cp:lastModifiedBy>lenovo</cp:lastModifiedBy>
  <dcterms:modified xsi:type="dcterms:W3CDTF">2019-10-15T03:01:10Z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