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hd w:val="clear" w:color="auto" w:fill="FFFFFF"/>
        <w:spacing w:line="600" w:lineRule="exact"/>
        <w:jc w:val="both"/>
        <w:rPr>
          <w:rFonts w:ascii="黑体" w:hAnsi="黑体" w:eastAsia="黑体" w:cs="黑体"/>
          <w:sz w:val="32"/>
          <w:szCs w:val="32"/>
          <w:shd w:val="clear" w:color="auto" w:fill="FFFFFF"/>
        </w:rPr>
      </w:pPr>
      <w:r>
        <w:rPr>
          <w:rFonts w:hint="eastAsia" w:ascii="黑体" w:eastAsia="黑体"/>
          <w:kern w:val="2"/>
          <w:sz w:val="32"/>
          <w:szCs w:val="32"/>
        </w:rPr>
        <w:t xml:space="preserve">附件 1 </w:t>
      </w:r>
    </w:p>
    <w:p>
      <w:pPr>
        <w:spacing w:line="600" w:lineRule="exact"/>
        <w:jc w:val="center"/>
        <w:rPr>
          <w:rFonts w:eastAsia="方正小标宋简体"/>
          <w:spacing w:val="-11"/>
          <w:w w:val="100"/>
          <w:sz w:val="44"/>
          <w:szCs w:val="44"/>
        </w:rPr>
      </w:pPr>
      <w:r>
        <w:rPr>
          <w:rFonts w:hint="eastAsia" w:ascii="方正小标宋简体" w:hAnsi="方正小标宋_GBK" w:eastAsia="方正小标宋简体" w:cs="方正小标宋_GBK"/>
          <w:spacing w:val="-11"/>
          <w:w w:val="100"/>
          <w:sz w:val="44"/>
          <w:szCs w:val="44"/>
        </w:rPr>
        <w:t>杭州市工矿企业安全生产标准化激励约束机制</w:t>
      </w:r>
    </w:p>
    <w:p>
      <w:pPr>
        <w:pStyle w:val="9"/>
        <w:spacing w:after="0" w:line="600" w:lineRule="exact"/>
        <w:ind w:firstLine="0" w:firstLineChars="0"/>
        <w:jc w:val="both"/>
        <w:rPr>
          <w:rFonts w:hint="eastAsia" w:ascii="仿宋_GB2312" w:hAnsi="仿宋_GB2312" w:eastAsia="仿宋_GB2312" w:cs="仿宋_GB2312"/>
          <w:b w:val="0"/>
          <w:bCs w:val="0"/>
          <w:spacing w:val="0"/>
          <w:sz w:val="32"/>
          <w:szCs w:val="32"/>
        </w:rPr>
      </w:pPr>
      <w:r>
        <w:rPr>
          <w:rFonts w:hint="eastAsia" w:ascii="仿宋" w:hAnsi="仿宋" w:eastAsia="仿宋"/>
        </w:rPr>
        <w:t xml:space="preserve">  </w:t>
      </w:r>
      <w:r>
        <w:rPr>
          <w:rFonts w:hint="eastAsia" w:ascii="仿宋_GB2312" w:hAnsi="仿宋_GB2312" w:eastAsia="仿宋_GB2312" w:cs="仿宋_GB2312"/>
          <w:b w:val="0"/>
          <w:bCs w:val="0"/>
          <w:spacing w:val="0"/>
          <w:sz w:val="32"/>
          <w:szCs w:val="32"/>
        </w:rPr>
        <w:t xml:space="preserve">  </w:t>
      </w:r>
    </w:p>
    <w:p>
      <w:pPr>
        <w:pStyle w:val="9"/>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b w:val="0"/>
          <w:bCs w:val="0"/>
          <w:spacing w:val="0"/>
          <w:sz w:val="32"/>
          <w:szCs w:val="32"/>
        </w:rPr>
        <w:t>为进一步加强安全生产标准化工作，根据《杭州市生产经营单位安全生产主体责任规定》（市政府</w:t>
      </w:r>
      <w:r>
        <w:rPr>
          <w:rFonts w:hint="eastAsia" w:ascii="仿宋" w:hAnsi="仿宋" w:eastAsia="仿宋" w:cs="仿宋"/>
          <w:b w:val="0"/>
          <w:bCs w:val="0"/>
          <w:spacing w:val="0"/>
          <w:sz w:val="32"/>
          <w:szCs w:val="32"/>
          <w:lang w:val="en-US" w:eastAsia="zh-CN"/>
        </w:rPr>
        <w:t>令第</w:t>
      </w:r>
      <w:r>
        <w:rPr>
          <w:rFonts w:hint="eastAsia" w:ascii="仿宋" w:hAnsi="仿宋" w:eastAsia="仿宋" w:cs="仿宋"/>
          <w:b w:val="0"/>
          <w:bCs w:val="0"/>
          <w:spacing w:val="0"/>
          <w:sz w:val="32"/>
          <w:szCs w:val="32"/>
        </w:rPr>
        <w:t>335号）、《</w:t>
      </w:r>
      <w:r>
        <w:rPr>
          <w:rFonts w:hint="eastAsia" w:ascii="仿宋" w:hAnsi="仿宋" w:eastAsia="仿宋" w:cs="仿宋"/>
          <w:b w:val="0"/>
          <w:bCs w:val="0"/>
          <w:spacing w:val="0"/>
          <w:sz w:val="32"/>
          <w:szCs w:val="32"/>
          <w:lang w:eastAsia="zh-CN"/>
        </w:rPr>
        <w:t>杭州市应急管理局</w:t>
      </w:r>
      <w:r>
        <w:rPr>
          <w:rFonts w:hint="eastAsia" w:ascii="仿宋" w:hAnsi="仿宋" w:eastAsia="仿宋" w:cs="仿宋"/>
          <w:b w:val="0"/>
          <w:bCs w:val="0"/>
          <w:spacing w:val="0"/>
          <w:sz w:val="32"/>
          <w:szCs w:val="32"/>
        </w:rPr>
        <w:t>关于进一步加强企业安全生产标准化建设定级管理的通知》（杭应急基础〔2022〕</w:t>
      </w:r>
      <w:r>
        <w:rPr>
          <w:rFonts w:hint="eastAsia" w:ascii="仿宋" w:hAnsi="仿宋" w:eastAsia="仿宋" w:cs="仿宋"/>
          <w:b w:val="0"/>
          <w:bCs w:val="0"/>
          <w:spacing w:val="0"/>
          <w:sz w:val="32"/>
          <w:szCs w:val="32"/>
          <w:lang w:eastAsia="zh-CN"/>
        </w:rPr>
        <w:t>7</w:t>
      </w:r>
      <w:r>
        <w:rPr>
          <w:rFonts w:hint="eastAsia" w:ascii="仿宋" w:hAnsi="仿宋" w:eastAsia="仿宋" w:cs="仿宋"/>
          <w:b w:val="0"/>
          <w:bCs w:val="0"/>
          <w:spacing w:val="0"/>
          <w:sz w:val="32"/>
          <w:szCs w:val="32"/>
        </w:rPr>
        <w:t>号）文件，结合</w:t>
      </w:r>
      <w:r>
        <w:rPr>
          <w:rFonts w:hint="eastAsia" w:ascii="仿宋" w:hAnsi="仿宋" w:eastAsia="仿宋" w:cs="仿宋"/>
          <w:b w:val="0"/>
          <w:bCs w:val="0"/>
          <w:spacing w:val="0"/>
          <w:sz w:val="32"/>
          <w:szCs w:val="32"/>
          <w:lang w:eastAsia="zh-CN"/>
        </w:rPr>
        <w:t>省市有关政策措施</w:t>
      </w:r>
      <w:r>
        <w:rPr>
          <w:rFonts w:hint="eastAsia" w:ascii="仿宋" w:hAnsi="仿宋" w:eastAsia="仿宋" w:cs="仿宋"/>
          <w:b w:val="0"/>
          <w:bCs w:val="0"/>
          <w:spacing w:val="0"/>
          <w:sz w:val="32"/>
          <w:szCs w:val="32"/>
        </w:rPr>
        <w:t>，</w:t>
      </w:r>
      <w:r>
        <w:rPr>
          <w:rFonts w:hint="eastAsia" w:ascii="仿宋" w:hAnsi="仿宋" w:eastAsia="仿宋" w:cs="仿宋"/>
          <w:b w:val="0"/>
          <w:bCs w:val="0"/>
          <w:spacing w:val="0"/>
          <w:sz w:val="32"/>
          <w:szCs w:val="32"/>
          <w:lang w:eastAsia="zh-CN"/>
        </w:rPr>
        <w:t>形成</w:t>
      </w:r>
      <w:r>
        <w:rPr>
          <w:rFonts w:hint="eastAsia" w:ascii="仿宋" w:hAnsi="仿宋" w:eastAsia="仿宋" w:cs="仿宋"/>
          <w:b w:val="0"/>
          <w:bCs w:val="0"/>
          <w:spacing w:val="0"/>
          <w:sz w:val="32"/>
          <w:szCs w:val="32"/>
        </w:rPr>
        <w:t>如下工矿企业安全生产标准化激励约束机制：</w:t>
      </w:r>
    </w:p>
    <w:p>
      <w:pPr>
        <w:pStyle w:val="10"/>
        <w:adjustRightInd w:val="0"/>
        <w:spacing w:line="560" w:lineRule="exact"/>
        <w:ind w:firstLine="758" w:firstLineChars="237"/>
        <w:rPr>
          <w:rFonts w:hint="eastAsia" w:ascii="黑体" w:hAnsi="黑体" w:eastAsia="黑体" w:cs="黑体"/>
          <w:b w:val="0"/>
          <w:bCs/>
          <w:sz w:val="32"/>
          <w:szCs w:val="32"/>
        </w:rPr>
      </w:pPr>
      <w:r>
        <w:rPr>
          <w:rFonts w:hint="eastAsia" w:ascii="黑体" w:hAnsi="黑体" w:eastAsia="黑体" w:cs="黑体"/>
          <w:b w:val="0"/>
          <w:bCs/>
          <w:sz w:val="32"/>
          <w:szCs w:val="32"/>
        </w:rPr>
        <w:t>一、与城镇土地使用税减免挂钩</w:t>
      </w:r>
    </w:p>
    <w:p>
      <w:pPr>
        <w:pStyle w:val="10"/>
        <w:adjustRightInd w:val="0"/>
        <w:spacing w:line="560" w:lineRule="exact"/>
        <w:ind w:firstLine="758" w:firstLineChars="237"/>
        <w:rPr>
          <w:rFonts w:hint="eastAsia" w:ascii="仿宋" w:hAnsi="仿宋" w:eastAsia="仿宋" w:cs="仿宋"/>
          <w:b/>
          <w:sz w:val="32"/>
          <w:szCs w:val="32"/>
        </w:rPr>
      </w:pPr>
      <w:r>
        <w:rPr>
          <w:rFonts w:hint="eastAsia" w:ascii="仿宋" w:hAnsi="仿宋" w:eastAsia="仿宋" w:cs="仿宋"/>
          <w:kern w:val="0"/>
          <w:sz w:val="32"/>
          <w:szCs w:val="32"/>
          <w:lang w:bidi="en-US"/>
        </w:rPr>
        <w:t>市区范围内使用土地并应当缴纳城镇土地使用税的单位，实行分类分档的城镇土地使用税减免政策。</w:t>
      </w:r>
      <w:r>
        <w:rPr>
          <w:rFonts w:hint="eastAsia" w:ascii="仿宋" w:hAnsi="仿宋" w:eastAsia="仿宋" w:cs="仿宋"/>
          <w:sz w:val="32"/>
          <w:szCs w:val="32"/>
        </w:rPr>
        <w:t>有关减免政策</w:t>
      </w:r>
      <w:r>
        <w:rPr>
          <w:rFonts w:hint="eastAsia" w:ascii="仿宋" w:hAnsi="仿宋" w:eastAsia="仿宋" w:cs="仿宋"/>
          <w:kern w:val="0"/>
          <w:sz w:val="32"/>
          <w:szCs w:val="32"/>
          <w:lang w:bidi="en-US"/>
        </w:rPr>
        <w:t>实行“一票否决制”，其中安全生产</w:t>
      </w:r>
      <w:r>
        <w:rPr>
          <w:rFonts w:hint="eastAsia" w:ascii="仿宋" w:hAnsi="仿宋" w:eastAsia="仿宋" w:cs="仿宋"/>
          <w:kern w:val="0"/>
          <w:sz w:val="32"/>
          <w:szCs w:val="32"/>
          <w:lang w:eastAsia="zh-CN" w:bidi="en-US"/>
        </w:rPr>
        <w:t>标准化</w:t>
      </w:r>
      <w:r>
        <w:rPr>
          <w:rFonts w:hint="eastAsia" w:ascii="仿宋" w:hAnsi="仿宋" w:eastAsia="仿宋" w:cs="仿宋"/>
          <w:kern w:val="0"/>
          <w:sz w:val="32"/>
          <w:szCs w:val="32"/>
          <w:lang w:bidi="en-US"/>
        </w:rPr>
        <w:t>未达标的企业，当年一律不予减免。</w:t>
      </w:r>
    </w:p>
    <w:p>
      <w:pPr>
        <w:pStyle w:val="13"/>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二、与工伤保险费率浮动挂钩</w:t>
      </w:r>
    </w:p>
    <w:p>
      <w:pPr>
        <w:pStyle w:val="13"/>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对持有效期内一级或二级安全生产标准化证书且上年度工伤保险费支缴率未超过100%的用人单位</w:t>
      </w:r>
      <w:r>
        <w:rPr>
          <w:rFonts w:hint="eastAsia" w:ascii="仿宋" w:hAnsi="仿宋" w:eastAsia="仿宋" w:cs="仿宋"/>
          <w:sz w:val="32"/>
          <w:szCs w:val="32"/>
          <w:lang w:eastAsia="zh-CN"/>
        </w:rPr>
        <w:t>（</w:t>
      </w:r>
      <w:r>
        <w:rPr>
          <w:rFonts w:hint="eastAsia" w:ascii="仿宋" w:hAnsi="仿宋" w:eastAsia="仿宋" w:cs="仿宋"/>
          <w:sz w:val="32"/>
          <w:szCs w:val="32"/>
        </w:rPr>
        <w:t>一类行业除外</w:t>
      </w:r>
      <w:r>
        <w:rPr>
          <w:rFonts w:hint="eastAsia" w:ascii="仿宋" w:hAnsi="仿宋" w:eastAsia="仿宋" w:cs="仿宋"/>
          <w:sz w:val="32"/>
          <w:szCs w:val="32"/>
          <w:lang w:eastAsia="zh-CN"/>
        </w:rPr>
        <w:t>），</w:t>
      </w:r>
      <w:r>
        <w:rPr>
          <w:rFonts w:hint="eastAsia" w:ascii="仿宋" w:hAnsi="仿宋" w:eastAsia="仿宋" w:cs="仿宋"/>
          <w:sz w:val="32"/>
          <w:szCs w:val="32"/>
        </w:rPr>
        <w:t>工伤保险费率再给予适当下浮。持有效期</w:t>
      </w:r>
      <w:r>
        <w:rPr>
          <w:rFonts w:hint="eastAsia" w:ascii="仿宋" w:hAnsi="仿宋" w:eastAsia="仿宋" w:cs="仿宋"/>
          <w:sz w:val="32"/>
          <w:szCs w:val="32"/>
          <w:lang w:eastAsia="zh-CN"/>
        </w:rPr>
        <w:t>内</w:t>
      </w:r>
      <w:r>
        <w:rPr>
          <w:rFonts w:hint="eastAsia" w:ascii="仿宋" w:hAnsi="仿宋" w:eastAsia="仿宋" w:cs="仿宋"/>
          <w:sz w:val="32"/>
          <w:szCs w:val="32"/>
        </w:rPr>
        <w:t>一级安全生产标准化证书的用人单位可下浮两档；持有效期</w:t>
      </w:r>
      <w:r>
        <w:rPr>
          <w:rFonts w:hint="eastAsia" w:ascii="仿宋" w:hAnsi="仿宋" w:eastAsia="仿宋" w:cs="仿宋"/>
          <w:sz w:val="32"/>
          <w:szCs w:val="32"/>
          <w:lang w:eastAsia="zh-CN"/>
        </w:rPr>
        <w:t>内</w:t>
      </w:r>
      <w:r>
        <w:rPr>
          <w:rFonts w:hint="eastAsia" w:ascii="仿宋" w:hAnsi="仿宋" w:eastAsia="仿宋" w:cs="仿宋"/>
          <w:sz w:val="32"/>
          <w:szCs w:val="32"/>
        </w:rPr>
        <w:t>二级安全生产标准化证书的用人单位可下浮一档。按上述办法下浮的工伤保险费率，最低不低于用人单位所属行业类别的最低费率档次标准。</w:t>
      </w:r>
    </w:p>
    <w:p>
      <w:pPr>
        <w:pStyle w:val="13"/>
        <w:spacing w:line="560" w:lineRule="exact"/>
        <w:ind w:firstLine="640"/>
        <w:rPr>
          <w:rFonts w:hint="eastAsia" w:ascii="黑体" w:hAnsi="黑体" w:eastAsia="黑体" w:cs="黑体"/>
          <w:b w:val="0"/>
          <w:bCs/>
          <w:sz w:val="32"/>
          <w:szCs w:val="32"/>
        </w:rPr>
      </w:pPr>
      <w:r>
        <w:rPr>
          <w:rFonts w:hint="eastAsia" w:ascii="黑体" w:hAnsi="黑体" w:eastAsia="黑体" w:cs="黑体"/>
          <w:b w:val="0"/>
          <w:bCs/>
          <w:sz w:val="32"/>
          <w:szCs w:val="32"/>
        </w:rPr>
        <w:t>三、与安全生产责任保险费率挂钩</w:t>
      </w:r>
    </w:p>
    <w:p>
      <w:pPr>
        <w:pStyle w:val="13"/>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企业安全生产责任险以行业为基础采用浮动系数标准，不同等级的安全生产标准化企业对应下浮调整安全生产责任险费率。</w:t>
      </w:r>
      <w:r>
        <w:rPr>
          <w:rFonts w:hint="eastAsia" w:ascii="仿宋" w:hAnsi="仿宋" w:eastAsia="仿宋" w:cs="仿宋"/>
          <w:sz w:val="32"/>
          <w:szCs w:val="32"/>
          <w:lang w:eastAsia="zh-CN"/>
        </w:rPr>
        <w:t>其中，一级费率为</w:t>
      </w:r>
      <w:r>
        <w:rPr>
          <w:rFonts w:hint="eastAsia" w:ascii="仿宋" w:hAnsi="仿宋" w:eastAsia="仿宋" w:cs="仿宋"/>
          <w:sz w:val="32"/>
          <w:szCs w:val="32"/>
          <w:lang w:val="en-US" w:eastAsia="zh-CN"/>
        </w:rPr>
        <w:t>80%、二级费率为90%、三级费率为95%。</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kern w:val="2"/>
          <w:sz w:val="32"/>
          <w:szCs w:val="32"/>
          <w:lang w:val="en-US" w:eastAsia="zh-CN" w:bidi="ar-SA"/>
        </w:rPr>
        <w:t>四、与金融信贷支持力度</w:t>
      </w:r>
      <w:r>
        <w:rPr>
          <w:rFonts w:hint="eastAsia" w:ascii="黑体" w:hAnsi="黑体" w:eastAsia="黑体" w:cs="黑体"/>
          <w:b w:val="0"/>
          <w:bCs/>
          <w:sz w:val="32"/>
          <w:szCs w:val="32"/>
        </w:rPr>
        <w:t>挂钩</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t>将企业</w:t>
      </w:r>
      <w:r>
        <w:rPr>
          <w:rFonts w:hint="eastAsia" w:ascii="仿宋" w:hAnsi="仿宋" w:eastAsia="仿宋" w:cs="仿宋"/>
          <w:sz w:val="32"/>
          <w:szCs w:val="32"/>
          <w:lang w:eastAsia="zh-CN"/>
        </w:rPr>
        <w:t>标准化等级作为“杭州金融服务综合平台”信贷信用等级评定依据之一，鼓励金融机构向符合条件的标准化等级企业在银行贷款、利率优惠等方面给予支持。</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、与企业评优评先推荐挂钩</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申报</w:t>
      </w:r>
      <w:r>
        <w:rPr>
          <w:rFonts w:hint="eastAsia" w:ascii="仿宋" w:hAnsi="仿宋" w:eastAsia="仿宋" w:cs="仿宋"/>
          <w:sz w:val="32"/>
          <w:szCs w:val="32"/>
          <w:lang w:eastAsia="zh-CN"/>
        </w:rPr>
        <w:t>经信系统鲲鹏企业、雄鹰行动、绿色低碳工业园区（工厂）建设、优质中小企业、隐形冠军、亩均论英雄，市场监管系统质量奖、品字标、重点商标，工会系统劳模、五一奖、安康杯、新时代和谐劳动关系等</w:t>
      </w:r>
      <w:r>
        <w:rPr>
          <w:rFonts w:hint="eastAsia" w:ascii="仿宋" w:hAnsi="仿宋" w:eastAsia="仿宋" w:cs="仿宋"/>
          <w:sz w:val="32"/>
          <w:szCs w:val="32"/>
        </w:rPr>
        <w:t>资格和荣誉的，予以优先支持或者推荐</w:t>
      </w:r>
      <w:r>
        <w:rPr>
          <w:rFonts w:hint="eastAsia" w:ascii="仿宋" w:hAnsi="仿宋" w:eastAsia="仿宋" w:cs="仿宋"/>
          <w:sz w:val="32"/>
          <w:szCs w:val="32"/>
          <w:lang w:eastAsia="zh-CN"/>
        </w:rPr>
        <w:t>；对因评选政府荣誉和申报政府奖励需出具各类安全生产证明的工矿企业，原则上应为标准化达标企业，</w:t>
      </w:r>
      <w:r>
        <w:rPr>
          <w:rFonts w:hint="eastAsia" w:ascii="仿宋" w:hAnsi="仿宋" w:eastAsia="仿宋" w:cs="仿宋"/>
          <w:sz w:val="32"/>
          <w:szCs w:val="32"/>
        </w:rPr>
        <w:t>优先</w:t>
      </w:r>
      <w:r>
        <w:rPr>
          <w:rFonts w:hint="eastAsia" w:ascii="仿宋" w:hAnsi="仿宋" w:eastAsia="仿宋" w:cs="仿宋"/>
          <w:sz w:val="32"/>
          <w:szCs w:val="32"/>
          <w:lang w:eastAsia="zh-CN"/>
        </w:rPr>
        <w:t>支持</w:t>
      </w:r>
      <w:r>
        <w:rPr>
          <w:rFonts w:hint="eastAsia" w:ascii="仿宋" w:hAnsi="仿宋" w:eastAsia="仿宋" w:cs="仿宋"/>
          <w:sz w:val="32"/>
          <w:szCs w:val="32"/>
        </w:rPr>
        <w:t>推荐</w:t>
      </w:r>
      <w:r>
        <w:rPr>
          <w:rFonts w:hint="eastAsia" w:ascii="仿宋" w:hAnsi="仿宋" w:eastAsia="仿宋" w:cs="仿宋"/>
          <w:sz w:val="32"/>
          <w:szCs w:val="32"/>
          <w:lang w:eastAsia="zh-CN"/>
        </w:rPr>
        <w:t>一级、二级标准化达标企业</w:t>
      </w:r>
      <w:r>
        <w:rPr>
          <w:rFonts w:hint="eastAsia" w:ascii="仿宋" w:hAnsi="仿宋" w:eastAsia="仿宋" w:cs="仿宋"/>
          <w:sz w:val="32"/>
          <w:szCs w:val="32"/>
        </w:rPr>
        <w:t>。</w:t>
      </w:r>
    </w:p>
    <w:p>
      <w:pPr>
        <w:pStyle w:val="2"/>
        <w:spacing w:after="0" w:line="560" w:lineRule="exact"/>
        <w:ind w:left="0" w:leftChars="0" w:firstLine="640" w:firstLineChars="0"/>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、与企业安全生产检查挂钩</w:t>
      </w:r>
    </w:p>
    <w:p>
      <w:pPr>
        <w:pStyle w:val="2"/>
        <w:spacing w:after="0" w:line="560" w:lineRule="exact"/>
        <w:ind w:left="0" w:leftChars="0" w:firstLine="640" w:firstLineChars="0"/>
        <w:rPr>
          <w:rFonts w:hint="eastAsia" w:ascii="仿宋" w:hAnsi="仿宋" w:eastAsia="仿宋" w:cs="仿宋"/>
          <w:sz w:val="32"/>
          <w:szCs w:val="32"/>
        </w:rPr>
      </w:pPr>
      <w:r>
        <w:rPr>
          <w:rFonts w:hint="eastAsia" w:ascii="仿宋" w:hAnsi="仿宋" w:eastAsia="仿宋" w:cs="仿宋"/>
          <w:sz w:val="32"/>
          <w:szCs w:val="32"/>
        </w:rPr>
        <w:t>对不同等级的企业实施差异化执法检查，对二级标准化</w:t>
      </w:r>
      <w:r>
        <w:rPr>
          <w:rFonts w:hint="eastAsia" w:ascii="仿宋" w:hAnsi="仿宋" w:eastAsia="仿宋" w:cs="仿宋"/>
          <w:sz w:val="32"/>
          <w:szCs w:val="32"/>
          <w:lang w:eastAsia="zh-CN"/>
        </w:rPr>
        <w:t>及</w:t>
      </w:r>
      <w:r>
        <w:rPr>
          <w:rFonts w:hint="eastAsia" w:ascii="仿宋" w:hAnsi="仿宋" w:eastAsia="仿宋" w:cs="仿宋"/>
          <w:sz w:val="32"/>
          <w:szCs w:val="32"/>
        </w:rPr>
        <w:t>以上企业，以执法抽查为主，减少执法检查频次（省级及以上专项督查检查除外）；对未达标的规上企业，原则上纳入下一年度安全生产监督检查计划。</w:t>
      </w:r>
    </w:p>
    <w:p>
      <w:pPr>
        <w:pStyle w:val="2"/>
        <w:spacing w:after="0" w:line="560" w:lineRule="exact"/>
        <w:ind w:left="0" w:leftChars="0" w:firstLine="640" w:firstLineChars="0"/>
        <w:rPr>
          <w:rFonts w:hint="eastAsia" w:ascii="黑体" w:hAnsi="黑体" w:eastAsia="黑体" w:cs="黑体"/>
          <w:b w:val="0"/>
          <w:bCs/>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、与安全生产政策措施挂钩</w:t>
      </w:r>
    </w:p>
    <w:p>
      <w:pPr>
        <w:pStyle w:val="2"/>
        <w:spacing w:after="0" w:line="560" w:lineRule="exact"/>
        <w:ind w:left="0" w:leftChars="0" w:firstLine="640" w:firstLineChars="0"/>
      </w:pPr>
      <w:r>
        <w:rPr>
          <w:rFonts w:hint="eastAsia" w:ascii="仿宋" w:hAnsi="仿宋" w:eastAsia="仿宋" w:cs="仿宋"/>
          <w:sz w:val="32"/>
          <w:szCs w:val="32"/>
        </w:rPr>
        <w:t>对因安全生产原因实施区域限</w:t>
      </w:r>
      <w:bookmarkStart w:id="0" w:name="_GoBack"/>
      <w:bookmarkEnd w:id="0"/>
      <w:r>
        <w:rPr>
          <w:rFonts w:hint="eastAsia" w:ascii="仿宋" w:hAnsi="仿宋" w:eastAsia="仿宋" w:cs="仿宋"/>
          <w:sz w:val="32"/>
          <w:szCs w:val="32"/>
        </w:rPr>
        <w:t>产、停产措施的，原则上二级</w:t>
      </w:r>
      <w:r>
        <w:rPr>
          <w:rFonts w:hint="eastAsia" w:ascii="仿宋" w:hAnsi="仿宋" w:eastAsia="仿宋" w:cs="仿宋"/>
          <w:sz w:val="32"/>
          <w:szCs w:val="32"/>
          <w:lang w:eastAsia="zh-CN"/>
        </w:rPr>
        <w:t>标准化及</w:t>
      </w:r>
      <w:r>
        <w:rPr>
          <w:rFonts w:hint="eastAsia" w:ascii="仿宋" w:hAnsi="仿宋" w:eastAsia="仿宋" w:cs="仿宋"/>
          <w:sz w:val="32"/>
          <w:szCs w:val="32"/>
        </w:rPr>
        <w:t>以上企业不纳入范围；停产后复产验收时，原则上优先对二级</w:t>
      </w:r>
      <w:r>
        <w:rPr>
          <w:rFonts w:hint="eastAsia" w:ascii="仿宋" w:hAnsi="仿宋" w:eastAsia="仿宋" w:cs="仿宋"/>
          <w:sz w:val="32"/>
          <w:szCs w:val="32"/>
          <w:lang w:eastAsia="zh-CN"/>
        </w:rPr>
        <w:t>标准化及</w:t>
      </w:r>
      <w:r>
        <w:rPr>
          <w:rFonts w:hint="eastAsia" w:ascii="仿宋" w:hAnsi="仿宋" w:eastAsia="仿宋" w:cs="仿宋"/>
          <w:sz w:val="32"/>
          <w:szCs w:val="32"/>
        </w:rPr>
        <w:t>以上企业进行复产验收。</w:t>
      </w:r>
    </w:p>
    <w:sectPr>
      <w:headerReference r:id="rId3" w:type="default"/>
      <w:footerReference r:id="rId4" w:type="default"/>
      <w:pgSz w:w="11906" w:h="16838"/>
      <w:pgMar w:top="1967" w:right="1474" w:bottom="1899"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E0002EFF" w:usb1="C0007843" w:usb2="00000009" w:usb3="00000000" w:csb0="000001FF" w:csb1="00000000"/>
  </w:font>
  <w:font w:name="Arial">
    <w:altName w:val="DejaVu Sans"/>
    <w:panose1 w:val="020B0604020202020204"/>
    <w:charset w:val="00"/>
    <w:family w:val="swiss"/>
    <w:pitch w:val="default"/>
    <w:sig w:usb0="E0002EFF" w:usb1="C000785B" w:usb2="00000009" w:usb3="00000000" w:csb0="000001FF" w:csb1="00000000"/>
  </w:font>
  <w:font w:name="等线">
    <w:altName w:val="微软雅黑"/>
    <w:panose1 w:val="02010600030101010101"/>
    <w:charset w:val="00"/>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hint="eastAsia" w:cs="宋体"/>
                              <w:sz w:val="28"/>
                              <w:szCs w:val="28"/>
                            </w:rPr>
                          </w:pPr>
                          <w:r>
                            <w:rPr>
                              <w:rFonts w:hint="eastAsia" w:cs="宋体"/>
                              <w:sz w:val="28"/>
                              <w:szCs w:val="28"/>
                            </w:rPr>
                            <w:t xml:space="preserve">— </w:t>
                          </w:r>
                          <w:r>
                            <w:rPr>
                              <w:rFonts w:hint="eastAsia" w:cs="宋体"/>
                              <w:sz w:val="28"/>
                              <w:szCs w:val="28"/>
                            </w:rPr>
                            <w:fldChar w:fldCharType="begin"/>
                          </w:r>
                          <w:r>
                            <w:rPr>
                              <w:rFonts w:hint="eastAsia" w:cs="宋体"/>
                              <w:sz w:val="28"/>
                              <w:szCs w:val="28"/>
                            </w:rPr>
                            <w:instrText xml:space="preserve"> PAGE  \* MERGEFORMAT </w:instrText>
                          </w:r>
                          <w:r>
                            <w:rPr>
                              <w:rFonts w:hint="eastAsia" w:cs="宋体"/>
                              <w:sz w:val="28"/>
                              <w:szCs w:val="28"/>
                            </w:rPr>
                            <w:fldChar w:fldCharType="separate"/>
                          </w:r>
                          <w:r>
                            <w:rPr>
                              <w:rFonts w:hint="eastAsia" w:cs="宋体"/>
                              <w:sz w:val="28"/>
                              <w:szCs w:val="28"/>
                            </w:rPr>
                            <w:t>73</w:t>
                          </w:r>
                          <w:r>
                            <w:rPr>
                              <w:rFonts w:hint="eastAsia" w:cs="宋体"/>
                              <w:sz w:val="28"/>
                              <w:szCs w:val="28"/>
                            </w:rPr>
                            <w:fldChar w:fldCharType="end"/>
                          </w:r>
                          <w:r>
                            <w:rPr>
                              <w:rFonts w:hint="eastAsia"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LNJWO7QAAAABQEAAA8AAAAAAAAAAQAgAAAAOAAAAGRycy9kb3ducmV2LnhtbFBLAQIU&#10;ABQAAAAIAIdO4kAm/sqE5QEAAMcDAAAOAAAAAAAAAAEAIAAAADUBAABkcnMvZTJvRG9jLnhtbFBL&#10;BQYAAAAABgAGAFkBAACMBQAAAAA=&#10;">
              <v:fill on="f" focussize="0,0"/>
              <v:stroke on="f" weight="0.5pt"/>
              <v:imagedata o:title=""/>
              <o:lock v:ext="edit" aspectratio="f"/>
              <v:textbox inset="0mm,0mm,0mm,0mm" style="mso-fit-shape-to-text:t;">
                <w:txbxContent>
                  <w:p>
                    <w:pPr>
                      <w:pStyle w:val="11"/>
                      <w:rPr>
                        <w:rFonts w:hint="eastAsia" w:cs="宋体"/>
                        <w:sz w:val="28"/>
                        <w:szCs w:val="28"/>
                      </w:rPr>
                    </w:pPr>
                    <w:r>
                      <w:rPr>
                        <w:rFonts w:hint="eastAsia" w:cs="宋体"/>
                        <w:sz w:val="28"/>
                        <w:szCs w:val="28"/>
                      </w:rPr>
                      <w:t xml:space="preserve">— </w:t>
                    </w:r>
                    <w:r>
                      <w:rPr>
                        <w:rFonts w:hint="eastAsia" w:cs="宋体"/>
                        <w:sz w:val="28"/>
                        <w:szCs w:val="28"/>
                      </w:rPr>
                      <w:fldChar w:fldCharType="begin"/>
                    </w:r>
                    <w:r>
                      <w:rPr>
                        <w:rFonts w:hint="eastAsia" w:cs="宋体"/>
                        <w:sz w:val="28"/>
                        <w:szCs w:val="28"/>
                      </w:rPr>
                      <w:instrText xml:space="preserve"> PAGE  \* MERGEFORMAT </w:instrText>
                    </w:r>
                    <w:r>
                      <w:rPr>
                        <w:rFonts w:hint="eastAsia" w:cs="宋体"/>
                        <w:sz w:val="28"/>
                        <w:szCs w:val="28"/>
                      </w:rPr>
                      <w:fldChar w:fldCharType="separate"/>
                    </w:r>
                    <w:r>
                      <w:rPr>
                        <w:rFonts w:hint="eastAsia" w:cs="宋体"/>
                        <w:sz w:val="28"/>
                        <w:szCs w:val="28"/>
                      </w:rPr>
                      <w:t>73</w:t>
                    </w:r>
                    <w:r>
                      <w:rPr>
                        <w:rFonts w:hint="eastAsia" w:cs="宋体"/>
                        <w:sz w:val="28"/>
                        <w:szCs w:val="28"/>
                      </w:rPr>
                      <w:fldChar w:fldCharType="end"/>
                    </w:r>
                    <w:r>
                      <w:rPr>
                        <w:rFonts w:hint="eastAsia"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04"/>
    <w:rsid w:val="00000099"/>
    <w:rsid w:val="00032040"/>
    <w:rsid w:val="000441FA"/>
    <w:rsid w:val="0005518C"/>
    <w:rsid w:val="00080A80"/>
    <w:rsid w:val="00080F32"/>
    <w:rsid w:val="000B15D2"/>
    <w:rsid w:val="000B5095"/>
    <w:rsid w:val="000D502F"/>
    <w:rsid w:val="000F4C1A"/>
    <w:rsid w:val="00104D5D"/>
    <w:rsid w:val="0010792A"/>
    <w:rsid w:val="0011131F"/>
    <w:rsid w:val="00124767"/>
    <w:rsid w:val="00172A27"/>
    <w:rsid w:val="00174F31"/>
    <w:rsid w:val="001E52A1"/>
    <w:rsid w:val="001F3AFB"/>
    <w:rsid w:val="001F52E0"/>
    <w:rsid w:val="001F5F59"/>
    <w:rsid w:val="002075F1"/>
    <w:rsid w:val="002146B8"/>
    <w:rsid w:val="002230B7"/>
    <w:rsid w:val="00245804"/>
    <w:rsid w:val="00283031"/>
    <w:rsid w:val="00285BBC"/>
    <w:rsid w:val="002A502D"/>
    <w:rsid w:val="002B2970"/>
    <w:rsid w:val="002C2F10"/>
    <w:rsid w:val="002E3AF3"/>
    <w:rsid w:val="002F1E47"/>
    <w:rsid w:val="003035E6"/>
    <w:rsid w:val="0035156E"/>
    <w:rsid w:val="0036090E"/>
    <w:rsid w:val="00364B4E"/>
    <w:rsid w:val="00366162"/>
    <w:rsid w:val="00367A39"/>
    <w:rsid w:val="00373FDD"/>
    <w:rsid w:val="00375CF4"/>
    <w:rsid w:val="00376C6E"/>
    <w:rsid w:val="00381CA5"/>
    <w:rsid w:val="003954BF"/>
    <w:rsid w:val="003B3469"/>
    <w:rsid w:val="003B4539"/>
    <w:rsid w:val="003C6901"/>
    <w:rsid w:val="00407820"/>
    <w:rsid w:val="00413C64"/>
    <w:rsid w:val="00416842"/>
    <w:rsid w:val="0042677F"/>
    <w:rsid w:val="00435056"/>
    <w:rsid w:val="00435281"/>
    <w:rsid w:val="004440D4"/>
    <w:rsid w:val="004A2219"/>
    <w:rsid w:val="004B11A4"/>
    <w:rsid w:val="004D1A6D"/>
    <w:rsid w:val="004D2EAC"/>
    <w:rsid w:val="004E19E7"/>
    <w:rsid w:val="00500284"/>
    <w:rsid w:val="005102AE"/>
    <w:rsid w:val="00544F23"/>
    <w:rsid w:val="00551F52"/>
    <w:rsid w:val="005611F5"/>
    <w:rsid w:val="0056611C"/>
    <w:rsid w:val="005A698F"/>
    <w:rsid w:val="005C3269"/>
    <w:rsid w:val="005D36A4"/>
    <w:rsid w:val="005E3475"/>
    <w:rsid w:val="005E34AD"/>
    <w:rsid w:val="005F21EF"/>
    <w:rsid w:val="005F254F"/>
    <w:rsid w:val="005F3CF4"/>
    <w:rsid w:val="005F7281"/>
    <w:rsid w:val="00611E3B"/>
    <w:rsid w:val="00620487"/>
    <w:rsid w:val="00652E48"/>
    <w:rsid w:val="00662F42"/>
    <w:rsid w:val="00683139"/>
    <w:rsid w:val="00693D0D"/>
    <w:rsid w:val="006B34A4"/>
    <w:rsid w:val="006D71E0"/>
    <w:rsid w:val="006E7500"/>
    <w:rsid w:val="006F6FC3"/>
    <w:rsid w:val="007108C3"/>
    <w:rsid w:val="00710CD4"/>
    <w:rsid w:val="007200A6"/>
    <w:rsid w:val="0072512D"/>
    <w:rsid w:val="00740A6F"/>
    <w:rsid w:val="00746924"/>
    <w:rsid w:val="00771F97"/>
    <w:rsid w:val="00782274"/>
    <w:rsid w:val="007860C3"/>
    <w:rsid w:val="0078626F"/>
    <w:rsid w:val="0079710A"/>
    <w:rsid w:val="007A3E40"/>
    <w:rsid w:val="007D0BA2"/>
    <w:rsid w:val="007E5267"/>
    <w:rsid w:val="007E5E90"/>
    <w:rsid w:val="007F3A2F"/>
    <w:rsid w:val="00803A85"/>
    <w:rsid w:val="008126FB"/>
    <w:rsid w:val="008129C2"/>
    <w:rsid w:val="0083408A"/>
    <w:rsid w:val="0083427A"/>
    <w:rsid w:val="00841434"/>
    <w:rsid w:val="00866394"/>
    <w:rsid w:val="00883487"/>
    <w:rsid w:val="00885251"/>
    <w:rsid w:val="008B383D"/>
    <w:rsid w:val="008E1BBA"/>
    <w:rsid w:val="008F0962"/>
    <w:rsid w:val="008F270E"/>
    <w:rsid w:val="00911170"/>
    <w:rsid w:val="009321FA"/>
    <w:rsid w:val="009466B6"/>
    <w:rsid w:val="0094736A"/>
    <w:rsid w:val="009511BB"/>
    <w:rsid w:val="00954E87"/>
    <w:rsid w:val="00954FAD"/>
    <w:rsid w:val="00955F50"/>
    <w:rsid w:val="00975AC8"/>
    <w:rsid w:val="00980893"/>
    <w:rsid w:val="009859F6"/>
    <w:rsid w:val="009B0F9B"/>
    <w:rsid w:val="009C7766"/>
    <w:rsid w:val="009D2282"/>
    <w:rsid w:val="009F0B5F"/>
    <w:rsid w:val="00A0248F"/>
    <w:rsid w:val="00A04E61"/>
    <w:rsid w:val="00A271B3"/>
    <w:rsid w:val="00A31458"/>
    <w:rsid w:val="00A33B09"/>
    <w:rsid w:val="00A33FF6"/>
    <w:rsid w:val="00A42578"/>
    <w:rsid w:val="00A55B72"/>
    <w:rsid w:val="00A565DA"/>
    <w:rsid w:val="00A66D65"/>
    <w:rsid w:val="00AA480B"/>
    <w:rsid w:val="00AB79C7"/>
    <w:rsid w:val="00AC108A"/>
    <w:rsid w:val="00AD0025"/>
    <w:rsid w:val="00AD46BA"/>
    <w:rsid w:val="00AE2F53"/>
    <w:rsid w:val="00AF7A6B"/>
    <w:rsid w:val="00B05D86"/>
    <w:rsid w:val="00B14603"/>
    <w:rsid w:val="00B15EA3"/>
    <w:rsid w:val="00B206A2"/>
    <w:rsid w:val="00B2271E"/>
    <w:rsid w:val="00B23FFA"/>
    <w:rsid w:val="00B25883"/>
    <w:rsid w:val="00B33FA3"/>
    <w:rsid w:val="00B40A7D"/>
    <w:rsid w:val="00B465FD"/>
    <w:rsid w:val="00B85E14"/>
    <w:rsid w:val="00BA1B70"/>
    <w:rsid w:val="00BA660C"/>
    <w:rsid w:val="00BB01E8"/>
    <w:rsid w:val="00BC2844"/>
    <w:rsid w:val="00BF2458"/>
    <w:rsid w:val="00C220D3"/>
    <w:rsid w:val="00C224A1"/>
    <w:rsid w:val="00C27F33"/>
    <w:rsid w:val="00C75DDF"/>
    <w:rsid w:val="00C8124F"/>
    <w:rsid w:val="00C857B0"/>
    <w:rsid w:val="00CA1A39"/>
    <w:rsid w:val="00CB36F9"/>
    <w:rsid w:val="00CB4EAE"/>
    <w:rsid w:val="00CB4FF6"/>
    <w:rsid w:val="00CD2258"/>
    <w:rsid w:val="00CE0BDB"/>
    <w:rsid w:val="00CE37DD"/>
    <w:rsid w:val="00CE7FB5"/>
    <w:rsid w:val="00CF2C80"/>
    <w:rsid w:val="00CF7DDD"/>
    <w:rsid w:val="00D22A45"/>
    <w:rsid w:val="00D3083D"/>
    <w:rsid w:val="00D32E72"/>
    <w:rsid w:val="00D34823"/>
    <w:rsid w:val="00D753A7"/>
    <w:rsid w:val="00D772E7"/>
    <w:rsid w:val="00D82E33"/>
    <w:rsid w:val="00DB197C"/>
    <w:rsid w:val="00DD169B"/>
    <w:rsid w:val="00DD54BF"/>
    <w:rsid w:val="00DE20B4"/>
    <w:rsid w:val="00DE7850"/>
    <w:rsid w:val="00E31881"/>
    <w:rsid w:val="00E3570F"/>
    <w:rsid w:val="00E36700"/>
    <w:rsid w:val="00E45068"/>
    <w:rsid w:val="00E4731C"/>
    <w:rsid w:val="00E564E7"/>
    <w:rsid w:val="00E71BE9"/>
    <w:rsid w:val="00E7238E"/>
    <w:rsid w:val="00E758CE"/>
    <w:rsid w:val="00E75E2B"/>
    <w:rsid w:val="00EB5945"/>
    <w:rsid w:val="00EC040B"/>
    <w:rsid w:val="00ED328B"/>
    <w:rsid w:val="00EE0E2F"/>
    <w:rsid w:val="00EE475F"/>
    <w:rsid w:val="00F01043"/>
    <w:rsid w:val="00F1395E"/>
    <w:rsid w:val="00F21098"/>
    <w:rsid w:val="00F25F92"/>
    <w:rsid w:val="00F72488"/>
    <w:rsid w:val="00F7478F"/>
    <w:rsid w:val="00F76166"/>
    <w:rsid w:val="00F81556"/>
    <w:rsid w:val="00F81BD5"/>
    <w:rsid w:val="00F91121"/>
    <w:rsid w:val="00FC444A"/>
    <w:rsid w:val="00FD1709"/>
    <w:rsid w:val="00FE563D"/>
    <w:rsid w:val="00FE6ECD"/>
    <w:rsid w:val="00FF49DA"/>
    <w:rsid w:val="03BD0442"/>
    <w:rsid w:val="0BE6C7B7"/>
    <w:rsid w:val="0EDB692C"/>
    <w:rsid w:val="114E1284"/>
    <w:rsid w:val="15E35BFE"/>
    <w:rsid w:val="15EE11B9"/>
    <w:rsid w:val="17796FF8"/>
    <w:rsid w:val="1F3217CE"/>
    <w:rsid w:val="1FDFCFEE"/>
    <w:rsid w:val="1FEF0DFD"/>
    <w:rsid w:val="1FFF628E"/>
    <w:rsid w:val="27BEFBF5"/>
    <w:rsid w:val="27FEF14E"/>
    <w:rsid w:val="2F6E65B5"/>
    <w:rsid w:val="357E8712"/>
    <w:rsid w:val="35FFB0CD"/>
    <w:rsid w:val="377FC01F"/>
    <w:rsid w:val="37CC9543"/>
    <w:rsid w:val="37D75420"/>
    <w:rsid w:val="37DFE16D"/>
    <w:rsid w:val="37FF532B"/>
    <w:rsid w:val="386F88BB"/>
    <w:rsid w:val="3B7B0DE5"/>
    <w:rsid w:val="3BBA2C0A"/>
    <w:rsid w:val="3C113A8D"/>
    <w:rsid w:val="3E468A0E"/>
    <w:rsid w:val="3EBFDB9B"/>
    <w:rsid w:val="3EBFEC72"/>
    <w:rsid w:val="3F273AB5"/>
    <w:rsid w:val="3F73BECD"/>
    <w:rsid w:val="3FBE15BD"/>
    <w:rsid w:val="3FCF8FD3"/>
    <w:rsid w:val="3FDD4A67"/>
    <w:rsid w:val="3FF5FC09"/>
    <w:rsid w:val="3FFD91AD"/>
    <w:rsid w:val="3FFE1F3F"/>
    <w:rsid w:val="3FFFDB3E"/>
    <w:rsid w:val="401010FF"/>
    <w:rsid w:val="4BF5B227"/>
    <w:rsid w:val="517A1289"/>
    <w:rsid w:val="519833A7"/>
    <w:rsid w:val="51FE6904"/>
    <w:rsid w:val="53B6331F"/>
    <w:rsid w:val="559FC1A5"/>
    <w:rsid w:val="55FE0578"/>
    <w:rsid w:val="56923631"/>
    <w:rsid w:val="56F16DD3"/>
    <w:rsid w:val="57BF2CF6"/>
    <w:rsid w:val="57EFD056"/>
    <w:rsid w:val="5A7E3991"/>
    <w:rsid w:val="5B5BBB19"/>
    <w:rsid w:val="5BD929DE"/>
    <w:rsid w:val="5C5829EF"/>
    <w:rsid w:val="5C625936"/>
    <w:rsid w:val="5C73D1D5"/>
    <w:rsid w:val="5DF750FC"/>
    <w:rsid w:val="5DFF4A82"/>
    <w:rsid w:val="5EF53C24"/>
    <w:rsid w:val="5EF70BFB"/>
    <w:rsid w:val="5EF74556"/>
    <w:rsid w:val="5F75D23A"/>
    <w:rsid w:val="5FA414D2"/>
    <w:rsid w:val="5FD71064"/>
    <w:rsid w:val="5FDA2D88"/>
    <w:rsid w:val="5FEF09D9"/>
    <w:rsid w:val="5FF5165A"/>
    <w:rsid w:val="5FFD2D8A"/>
    <w:rsid w:val="61382ABE"/>
    <w:rsid w:val="63F56523"/>
    <w:rsid w:val="65DAA349"/>
    <w:rsid w:val="66F89565"/>
    <w:rsid w:val="67F6EE13"/>
    <w:rsid w:val="6A491EB5"/>
    <w:rsid w:val="6AFAA6AB"/>
    <w:rsid w:val="6AFDB5AB"/>
    <w:rsid w:val="6BFF36E7"/>
    <w:rsid w:val="6CA82E2C"/>
    <w:rsid w:val="6DF6EB64"/>
    <w:rsid w:val="6EE79405"/>
    <w:rsid w:val="6F77E74D"/>
    <w:rsid w:val="6FDE7EA7"/>
    <w:rsid w:val="6FED0C39"/>
    <w:rsid w:val="6FF9FE42"/>
    <w:rsid w:val="6FFB89C5"/>
    <w:rsid w:val="6FFD87CB"/>
    <w:rsid w:val="6FFF3032"/>
    <w:rsid w:val="6FFFA664"/>
    <w:rsid w:val="6FFFCA6A"/>
    <w:rsid w:val="711854C7"/>
    <w:rsid w:val="734FCBA7"/>
    <w:rsid w:val="74B7A774"/>
    <w:rsid w:val="75156EB5"/>
    <w:rsid w:val="75DC1FD1"/>
    <w:rsid w:val="75DFAFE8"/>
    <w:rsid w:val="75F53D3C"/>
    <w:rsid w:val="76BFC654"/>
    <w:rsid w:val="776E1627"/>
    <w:rsid w:val="77BF65D8"/>
    <w:rsid w:val="77BFD9F4"/>
    <w:rsid w:val="77EF58A6"/>
    <w:rsid w:val="77FF42AD"/>
    <w:rsid w:val="78FA10E6"/>
    <w:rsid w:val="797F6603"/>
    <w:rsid w:val="79AF2AD2"/>
    <w:rsid w:val="79CED644"/>
    <w:rsid w:val="79ED9F70"/>
    <w:rsid w:val="79FF7764"/>
    <w:rsid w:val="7A77B40C"/>
    <w:rsid w:val="7AFF6BDF"/>
    <w:rsid w:val="7B77BE21"/>
    <w:rsid w:val="7BBE3392"/>
    <w:rsid w:val="7BBE44F1"/>
    <w:rsid w:val="7BF841B7"/>
    <w:rsid w:val="7BFD913A"/>
    <w:rsid w:val="7BFEBC19"/>
    <w:rsid w:val="7BFF8FF0"/>
    <w:rsid w:val="7BFFEFEA"/>
    <w:rsid w:val="7C36C4A3"/>
    <w:rsid w:val="7CB6624D"/>
    <w:rsid w:val="7CEF55ED"/>
    <w:rsid w:val="7D1BC3F5"/>
    <w:rsid w:val="7D31AD01"/>
    <w:rsid w:val="7D9F93ED"/>
    <w:rsid w:val="7DA956A8"/>
    <w:rsid w:val="7DB5FF5F"/>
    <w:rsid w:val="7DDF3E2A"/>
    <w:rsid w:val="7DEB2AE9"/>
    <w:rsid w:val="7DEFCB83"/>
    <w:rsid w:val="7DEFCD4D"/>
    <w:rsid w:val="7E4733FA"/>
    <w:rsid w:val="7E5FBDE4"/>
    <w:rsid w:val="7EA9551A"/>
    <w:rsid w:val="7EBFB7DF"/>
    <w:rsid w:val="7ECF5710"/>
    <w:rsid w:val="7ED98E53"/>
    <w:rsid w:val="7EE6EFE8"/>
    <w:rsid w:val="7EF7283A"/>
    <w:rsid w:val="7EFCCDB5"/>
    <w:rsid w:val="7F3F5295"/>
    <w:rsid w:val="7F4F6BC4"/>
    <w:rsid w:val="7F730CBF"/>
    <w:rsid w:val="7F97EE0A"/>
    <w:rsid w:val="7FB7429B"/>
    <w:rsid w:val="7FE67255"/>
    <w:rsid w:val="7FEB7D4A"/>
    <w:rsid w:val="7FEFC857"/>
    <w:rsid w:val="7FF557DE"/>
    <w:rsid w:val="7FFF1A13"/>
    <w:rsid w:val="94BEE128"/>
    <w:rsid w:val="951F1522"/>
    <w:rsid w:val="96FCBB84"/>
    <w:rsid w:val="9BE91C31"/>
    <w:rsid w:val="9E5FC1EE"/>
    <w:rsid w:val="9FDDD1EB"/>
    <w:rsid w:val="9FFEC781"/>
    <w:rsid w:val="AADD050F"/>
    <w:rsid w:val="ABFFF990"/>
    <w:rsid w:val="B0F58B7D"/>
    <w:rsid w:val="B2E70E9B"/>
    <w:rsid w:val="B3EEFFF6"/>
    <w:rsid w:val="B3FDB574"/>
    <w:rsid w:val="B51F5510"/>
    <w:rsid w:val="B5EF87DA"/>
    <w:rsid w:val="B5FB5609"/>
    <w:rsid w:val="B6F76EE3"/>
    <w:rsid w:val="B8B69373"/>
    <w:rsid w:val="BAD70456"/>
    <w:rsid w:val="BB9E1F02"/>
    <w:rsid w:val="BBCB2B2F"/>
    <w:rsid w:val="BC9D32EC"/>
    <w:rsid w:val="BDFF8B1E"/>
    <w:rsid w:val="BE7B311D"/>
    <w:rsid w:val="BEDDD2B4"/>
    <w:rsid w:val="BFB36A71"/>
    <w:rsid w:val="BFDDCAB4"/>
    <w:rsid w:val="BFEB274C"/>
    <w:rsid w:val="BFFE9EEE"/>
    <w:rsid w:val="BFFF43B0"/>
    <w:rsid w:val="BFFF4F0E"/>
    <w:rsid w:val="BFFFBECE"/>
    <w:rsid w:val="C7BFC421"/>
    <w:rsid w:val="CDBBCD23"/>
    <w:rsid w:val="CDCF1D16"/>
    <w:rsid w:val="CFD62EC2"/>
    <w:rsid w:val="CFD70E98"/>
    <w:rsid w:val="CFFAA695"/>
    <w:rsid w:val="D2FEDBDA"/>
    <w:rsid w:val="D57E496B"/>
    <w:rsid w:val="D5E1813F"/>
    <w:rsid w:val="D7E58FE2"/>
    <w:rsid w:val="D866A9FA"/>
    <w:rsid w:val="D8EFC967"/>
    <w:rsid w:val="DACF8B4D"/>
    <w:rsid w:val="DBFF24B3"/>
    <w:rsid w:val="DCEB87FA"/>
    <w:rsid w:val="DE53C3A5"/>
    <w:rsid w:val="DE7ECF63"/>
    <w:rsid w:val="DE9DFF66"/>
    <w:rsid w:val="DEF7B2BC"/>
    <w:rsid w:val="DF6BCD7C"/>
    <w:rsid w:val="DFBF5CE1"/>
    <w:rsid w:val="DFEBE67F"/>
    <w:rsid w:val="DFF7B4DF"/>
    <w:rsid w:val="E3FF1E95"/>
    <w:rsid w:val="E5BDD1DB"/>
    <w:rsid w:val="E7F86FC3"/>
    <w:rsid w:val="E9EF77E7"/>
    <w:rsid w:val="EBE3562D"/>
    <w:rsid w:val="EDBFA450"/>
    <w:rsid w:val="EF3FB820"/>
    <w:rsid w:val="EF7F093F"/>
    <w:rsid w:val="EF9BE30F"/>
    <w:rsid w:val="EF9D40E4"/>
    <w:rsid w:val="EFADF481"/>
    <w:rsid w:val="EFCBFF77"/>
    <w:rsid w:val="EFF754C1"/>
    <w:rsid w:val="EFFBEB11"/>
    <w:rsid w:val="F3DF0957"/>
    <w:rsid w:val="F47729EA"/>
    <w:rsid w:val="F47FB715"/>
    <w:rsid w:val="F47FF1B0"/>
    <w:rsid w:val="F573B2A6"/>
    <w:rsid w:val="F5B96B56"/>
    <w:rsid w:val="F5F629A2"/>
    <w:rsid w:val="F6773DE5"/>
    <w:rsid w:val="F6CE9F35"/>
    <w:rsid w:val="F6DE9DB5"/>
    <w:rsid w:val="F6F72368"/>
    <w:rsid w:val="F6FBB3B3"/>
    <w:rsid w:val="F73FCF66"/>
    <w:rsid w:val="F752103B"/>
    <w:rsid w:val="F75E8398"/>
    <w:rsid w:val="F77572C2"/>
    <w:rsid w:val="F77AFE0A"/>
    <w:rsid w:val="F7BB9E70"/>
    <w:rsid w:val="F7D25633"/>
    <w:rsid w:val="F7DC9E35"/>
    <w:rsid w:val="F7DDA735"/>
    <w:rsid w:val="F7E7BF1A"/>
    <w:rsid w:val="F7FE1D34"/>
    <w:rsid w:val="F7FE9960"/>
    <w:rsid w:val="F8CBF377"/>
    <w:rsid w:val="F9EBD00B"/>
    <w:rsid w:val="FADED717"/>
    <w:rsid w:val="FAEB6928"/>
    <w:rsid w:val="FAF5B3FA"/>
    <w:rsid w:val="FAFF02A9"/>
    <w:rsid w:val="FB5FCAC8"/>
    <w:rsid w:val="FBB3283C"/>
    <w:rsid w:val="FBB748A5"/>
    <w:rsid w:val="FBCF48FB"/>
    <w:rsid w:val="FBE1F58F"/>
    <w:rsid w:val="FBFB1F19"/>
    <w:rsid w:val="FBFFC912"/>
    <w:rsid w:val="FCBF1B34"/>
    <w:rsid w:val="FCED7120"/>
    <w:rsid w:val="FCEF4DDE"/>
    <w:rsid w:val="FD777DD1"/>
    <w:rsid w:val="FD7C5155"/>
    <w:rsid w:val="FDB75AFD"/>
    <w:rsid w:val="FDFE256D"/>
    <w:rsid w:val="FEA710E0"/>
    <w:rsid w:val="FED74295"/>
    <w:rsid w:val="FEDFBBDF"/>
    <w:rsid w:val="FEF1F8A6"/>
    <w:rsid w:val="FEFAA73F"/>
    <w:rsid w:val="FEFEA505"/>
    <w:rsid w:val="FF2D87FA"/>
    <w:rsid w:val="FF728340"/>
    <w:rsid w:val="FF77A58E"/>
    <w:rsid w:val="FF7EE5EC"/>
    <w:rsid w:val="FF9404EF"/>
    <w:rsid w:val="FFB6AED4"/>
    <w:rsid w:val="FFB96BF1"/>
    <w:rsid w:val="FFBF9ACB"/>
    <w:rsid w:val="FFCB4E36"/>
    <w:rsid w:val="FFD2D361"/>
    <w:rsid w:val="FFE3CFB9"/>
    <w:rsid w:val="FFED6B6B"/>
    <w:rsid w:val="FFED753B"/>
    <w:rsid w:val="FFF38C57"/>
    <w:rsid w:val="FFF75ACB"/>
    <w:rsid w:val="FFF77C5A"/>
    <w:rsid w:val="FFFB812A"/>
    <w:rsid w:val="FFFD93C6"/>
    <w:rsid w:val="FFFF2237"/>
    <w:rsid w:val="FFFFBAFB"/>
    <w:rsid w:val="FFFFCC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semiHidden="0"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5">
    <w:name w:val="heading 1"/>
    <w:basedOn w:val="1"/>
    <w:next w:val="1"/>
    <w:qFormat/>
    <w:uiPriority w:val="9"/>
    <w:pPr>
      <w:adjustRightInd w:val="0"/>
      <w:snapToGrid w:val="0"/>
      <w:spacing w:line="360" w:lineRule="auto"/>
      <w:jc w:val="left"/>
      <w:outlineLvl w:val="0"/>
    </w:pPr>
    <w:rPr>
      <w:rFonts w:ascii="宋体" w:hAnsi="宋体" w:cs="宋体"/>
      <w:b/>
      <w:bCs/>
      <w:kern w:val="0"/>
      <w:sz w:val="28"/>
      <w:szCs w:val="28"/>
    </w:rPr>
  </w:style>
  <w:style w:type="paragraph" w:styleId="6">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9">
    <w:name w:val="Default Paragraph Font"/>
    <w:unhideWhenUsed/>
    <w:uiPriority w:val="1"/>
  </w:style>
  <w:style w:type="table" w:default="1" w:styleId="17">
    <w:name w:val="Normal Table"/>
    <w:unhideWhenUsed/>
    <w:uiPriority w:val="99"/>
    <w:tblPr>
      <w:tblStyle w:val="17"/>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rPr>
      <w:rFonts w:ascii="Calibri" w:hAnsi="Calibri" w:eastAsia="宋体" w:cs="Times New Roman"/>
    </w:rPr>
  </w:style>
  <w:style w:type="paragraph" w:styleId="3">
    <w:name w:val="Body Text Indent"/>
    <w:basedOn w:val="1"/>
    <w:next w:val="4"/>
    <w:unhideWhenUsed/>
    <w:uiPriority w:val="99"/>
    <w:pPr>
      <w:spacing w:after="120"/>
      <w:ind w:left="420" w:leftChars="200"/>
    </w:pPr>
    <w:rPr>
      <w:rFonts w:ascii="Calibri" w:hAnsi="Calibri" w:eastAsia="宋体" w:cs="Times New Roman"/>
    </w:rPr>
  </w:style>
  <w:style w:type="paragraph" w:styleId="4">
    <w:name w:val="Normal Indent"/>
    <w:basedOn w:val="1"/>
    <w:unhideWhenUsed/>
    <w:uiPriority w:val="99"/>
    <w:pPr>
      <w:ind w:firstLine="420" w:firstLineChars="200"/>
    </w:pPr>
    <w:rPr>
      <w:rFonts w:eastAsia="仿宋"/>
      <w:sz w:val="32"/>
    </w:rPr>
  </w:style>
  <w:style w:type="paragraph" w:styleId="7">
    <w:name w:val="annotation text"/>
    <w:basedOn w:val="1"/>
    <w:link w:val="25"/>
    <w:unhideWhenUsed/>
    <w:uiPriority w:val="99"/>
    <w:pPr>
      <w:jc w:val="left"/>
    </w:pPr>
  </w:style>
  <w:style w:type="paragraph" w:styleId="8">
    <w:name w:val="Body Text"/>
    <w:basedOn w:val="1"/>
    <w:next w:val="9"/>
    <w:link w:val="26"/>
    <w:unhideWhenUsed/>
    <w:uiPriority w:val="99"/>
    <w:pPr>
      <w:spacing w:after="120"/>
    </w:pPr>
  </w:style>
  <w:style w:type="paragraph" w:styleId="9">
    <w:name w:val="Body Text First Indent"/>
    <w:basedOn w:val="8"/>
    <w:next w:val="1"/>
    <w:link w:val="27"/>
    <w:unhideWhenUsed/>
    <w:uiPriority w:val="99"/>
    <w:pPr>
      <w:tabs>
        <w:tab w:val="left" w:pos="3380"/>
      </w:tabs>
      <w:ind w:firstLine="420" w:firstLineChars="100"/>
      <w:jc w:val="center"/>
    </w:pPr>
    <w:rPr>
      <w:b/>
      <w:bCs/>
      <w:spacing w:val="-20"/>
      <w:sz w:val="36"/>
      <w:szCs w:val="24"/>
    </w:rPr>
  </w:style>
  <w:style w:type="paragraph" w:styleId="10">
    <w:name w:val="Plain Text"/>
    <w:basedOn w:val="1"/>
    <w:unhideWhenUsed/>
    <w:uiPriority w:val="99"/>
    <w:rPr>
      <w:rFonts w:ascii="宋体" w:hAnsi="Courier New"/>
      <w:szCs w:val="24"/>
    </w:rPr>
  </w:style>
  <w:style w:type="paragraph" w:styleId="11">
    <w:name w:val="footer"/>
    <w:basedOn w:val="1"/>
    <w:link w:val="28"/>
    <w:unhideWhenUsed/>
    <w:uiPriority w:val="0"/>
    <w:pPr>
      <w:tabs>
        <w:tab w:val="center" w:pos="4153"/>
        <w:tab w:val="right" w:pos="8306"/>
      </w:tabs>
      <w:snapToGrid w:val="0"/>
      <w:jc w:val="left"/>
    </w:pPr>
    <w:rPr>
      <w:rFonts w:ascii="宋体" w:hAnsi="宋体" w:cs="Times New Roman"/>
      <w:sz w:val="18"/>
      <w:szCs w:val="18"/>
    </w:rPr>
  </w:style>
  <w:style w:type="paragraph" w:styleId="12">
    <w:name w:val="header"/>
    <w:basedOn w:val="1"/>
    <w:link w:val="29"/>
    <w:unhideWhenUsed/>
    <w:uiPriority w:val="99"/>
    <w:pPr>
      <w:pBdr>
        <w:bottom w:val="single" w:color="auto" w:sz="6" w:space="1"/>
      </w:pBdr>
      <w:tabs>
        <w:tab w:val="center" w:pos="4153"/>
        <w:tab w:val="right" w:pos="8306"/>
      </w:tabs>
      <w:snapToGrid w:val="0"/>
      <w:jc w:val="center"/>
    </w:pPr>
    <w:rPr>
      <w:rFonts w:ascii="宋体" w:hAnsi="宋体" w:cs="Times New Roman"/>
      <w:sz w:val="18"/>
      <w:szCs w:val="18"/>
    </w:rPr>
  </w:style>
  <w:style w:type="paragraph" w:styleId="13">
    <w:name w:val="toc 1"/>
    <w:basedOn w:val="1"/>
    <w:next w:val="1"/>
    <w:unhideWhenUsed/>
    <w:uiPriority w:val="39"/>
    <w:rPr>
      <w:rFonts w:cs="Times New Roman"/>
    </w:rPr>
  </w:style>
  <w:style w:type="paragraph" w:styleId="14">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5">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16">
    <w:name w:val="annotation subject"/>
    <w:basedOn w:val="7"/>
    <w:next w:val="7"/>
    <w:link w:val="30"/>
    <w:unhideWhenUsed/>
    <w:uiPriority w:val="99"/>
    <w:rPr>
      <w:b/>
      <w:bCs/>
    </w:rPr>
  </w:style>
  <w:style w:type="table" w:styleId="18">
    <w:name w:val="Table Grid"/>
    <w:basedOn w:val="17"/>
    <w:uiPriority w:val="39"/>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rPr>
  </w:style>
  <w:style w:type="character" w:styleId="21">
    <w:name w:val="page number"/>
    <w:unhideWhenUsed/>
    <w:uiPriority w:val="0"/>
    <w:rPr>
      <w:rFonts w:ascii="等线" w:hAnsi="等线" w:eastAsia="等线" w:cs="Times New Roman"/>
    </w:rPr>
  </w:style>
  <w:style w:type="character" w:styleId="22">
    <w:name w:val="Hyperlink"/>
    <w:unhideWhenUsed/>
    <w:uiPriority w:val="99"/>
    <w:rPr>
      <w:color w:val="0000FF"/>
      <w:u w:val="single"/>
    </w:rPr>
  </w:style>
  <w:style w:type="character" w:styleId="23">
    <w:name w:val="annotation reference"/>
    <w:unhideWhenUsed/>
    <w:uiPriority w:val="99"/>
    <w:rPr>
      <w:sz w:val="21"/>
      <w:szCs w:val="21"/>
    </w:rPr>
  </w:style>
  <w:style w:type="character" w:customStyle="1" w:styleId="24">
    <w:name w:val="标题 3 字符"/>
    <w:link w:val="6"/>
    <w:semiHidden/>
    <w:uiPriority w:val="9"/>
    <w:rPr>
      <w:b/>
      <w:bCs/>
      <w:kern w:val="2"/>
      <w:sz w:val="32"/>
      <w:szCs w:val="32"/>
    </w:rPr>
  </w:style>
  <w:style w:type="character" w:customStyle="1" w:styleId="25">
    <w:name w:val="批注文字 字符"/>
    <w:link w:val="7"/>
    <w:semiHidden/>
    <w:qFormat/>
    <w:uiPriority w:val="99"/>
    <w:rPr>
      <w:kern w:val="2"/>
      <w:sz w:val="21"/>
      <w:szCs w:val="22"/>
    </w:rPr>
  </w:style>
  <w:style w:type="character" w:customStyle="1" w:styleId="26">
    <w:name w:val="正文文本 字符"/>
    <w:link w:val="8"/>
    <w:semiHidden/>
    <w:qFormat/>
    <w:uiPriority w:val="99"/>
    <w:rPr>
      <w:rFonts w:ascii="Times New Roman" w:hAnsi="Times New Roman" w:cs="Times New Roman"/>
    </w:rPr>
  </w:style>
  <w:style w:type="character" w:customStyle="1" w:styleId="27">
    <w:name w:val="正文文本首行缩进 字符"/>
    <w:link w:val="9"/>
    <w:qFormat/>
    <w:uiPriority w:val="0"/>
    <w:rPr>
      <w:rFonts w:ascii="Times New Roman" w:hAnsi="Times New Roman" w:cs="Times New Roman"/>
      <w:b/>
      <w:bCs/>
      <w:spacing w:val="-20"/>
      <w:sz w:val="36"/>
      <w:szCs w:val="24"/>
    </w:rPr>
  </w:style>
  <w:style w:type="character" w:customStyle="1" w:styleId="28">
    <w:name w:val="页脚 字符"/>
    <w:link w:val="11"/>
    <w:qFormat/>
    <w:uiPriority w:val="99"/>
    <w:rPr>
      <w:sz w:val="18"/>
      <w:szCs w:val="18"/>
    </w:rPr>
  </w:style>
  <w:style w:type="character" w:customStyle="1" w:styleId="29">
    <w:name w:val="页眉 字符"/>
    <w:link w:val="12"/>
    <w:qFormat/>
    <w:uiPriority w:val="99"/>
    <w:rPr>
      <w:sz w:val="18"/>
      <w:szCs w:val="18"/>
    </w:rPr>
  </w:style>
  <w:style w:type="character" w:customStyle="1" w:styleId="30">
    <w:name w:val="批注主题 字符"/>
    <w:link w:val="16"/>
    <w:semiHidden/>
    <w:qFormat/>
    <w:uiPriority w:val="99"/>
    <w:rPr>
      <w:b/>
      <w:bCs/>
      <w:kern w:val="2"/>
      <w:sz w:val="21"/>
      <w:szCs w:val="22"/>
    </w:rPr>
  </w:style>
  <w:style w:type="paragraph" w:customStyle="1" w:styleId="31">
    <w:name w:val="修订1"/>
    <w:semiHidden/>
    <w:qFormat/>
    <w:uiPriority w:val="99"/>
    <w:rPr>
      <w:kern w:val="2"/>
      <w:sz w:val="21"/>
      <w:szCs w:val="22"/>
      <w:lang w:val="en-US" w:eastAsia="zh-CN" w:bidi="ar-SA"/>
    </w:rPr>
  </w:style>
  <w:style w:type="paragraph" w:customStyle="1" w:styleId="32">
    <w:name w:val="修订2"/>
    <w:semiHidden/>
    <w:qFormat/>
    <w:uiPriority w:val="99"/>
    <w:rPr>
      <w:kern w:val="2"/>
      <w:sz w:val="21"/>
      <w:szCs w:val="22"/>
      <w:lang w:val="en-US" w:eastAsia="zh-CN" w:bidi="ar-SA"/>
    </w:rPr>
  </w:style>
  <w:style w:type="paragraph" w:customStyle="1" w:styleId="33">
    <w:name w:val="修订3"/>
    <w:semiHidden/>
    <w:qFormat/>
    <w:uiPriority w:val="99"/>
    <w:rPr>
      <w:kern w:val="2"/>
      <w:sz w:val="21"/>
      <w:szCs w:val="22"/>
      <w:lang w:val="en-US" w:eastAsia="zh-CN" w:bidi="ar-SA"/>
    </w:rPr>
  </w:style>
  <w:style w:type="paragraph" w:customStyle="1" w:styleId="34">
    <w:name w:val="修订4"/>
    <w:semiHidden/>
    <w:qFormat/>
    <w:uiPriority w:val="99"/>
    <w:rPr>
      <w:kern w:val="2"/>
      <w:sz w:val="21"/>
      <w:szCs w:val="22"/>
      <w:lang w:val="en-US" w:eastAsia="zh-CN" w:bidi="ar-SA"/>
    </w:rPr>
  </w:style>
  <w:style w:type="paragraph" w:customStyle="1" w:styleId="35">
    <w:name w:val="Revision"/>
    <w:semiHidden/>
    <w:qFormat/>
    <w:uiPriority w:val="99"/>
    <w:rPr>
      <w:kern w:val="2"/>
      <w:sz w:val="21"/>
      <w:szCs w:val="22"/>
      <w:lang w:val="en-US" w:eastAsia="zh-CN" w:bidi="ar-SA"/>
    </w:rPr>
  </w:style>
  <w:style w:type="paragraph" w:customStyle="1" w:styleId="36">
    <w:name w:val="List Paragraph"/>
    <w:basedOn w:val="1"/>
    <w:qFormat/>
    <w:uiPriority w:val="34"/>
    <w:pPr>
      <w:ind w:firstLine="420" w:firstLineChars="200"/>
    </w:pPr>
    <w:rPr>
      <w:rFonts w:ascii="Calibri" w:hAnsi="Calibri" w:eastAsia="宋体" w:cs="Times New Roman"/>
    </w:rPr>
  </w:style>
  <w:style w:type="character" w:customStyle="1" w:styleId="37">
    <w:name w:val="font01"/>
    <w:qFormat/>
    <w:uiPriority w:val="0"/>
    <w:rPr>
      <w:rFonts w:hint="eastAsia" w:ascii="宋体" w:hAnsi="宋体" w:eastAsia="宋体" w:cs="宋体"/>
      <w:color w:val="000000"/>
      <w:sz w:val="22"/>
      <w:szCs w:val="22"/>
      <w:u w:val="none"/>
    </w:rPr>
  </w:style>
  <w:style w:type="character" w:customStyle="1" w:styleId="38">
    <w:name w:val="font21"/>
    <w:qFormat/>
    <w:uiPriority w:val="0"/>
    <w:rPr>
      <w:rFonts w:hint="eastAsia" w:ascii="宋体" w:hAnsi="宋体" w:eastAsia="宋体" w:cs="宋体"/>
      <w:b/>
      <w:color w:val="000000"/>
      <w:sz w:val="22"/>
      <w:szCs w:val="22"/>
      <w:u w:val="none"/>
    </w:rPr>
  </w:style>
  <w:style w:type="character" w:customStyle="1" w:styleId="39">
    <w:name w:val="font11"/>
    <w:qFormat/>
    <w:uiPriority w:val="0"/>
    <w:rPr>
      <w:rFonts w:hint="eastAsia" w:ascii="宋体" w:hAnsi="宋体" w:eastAsia="宋体" w:cs="宋体"/>
      <w:color w:val="000000"/>
      <w:sz w:val="22"/>
      <w:szCs w:val="22"/>
      <w:u w:val="none"/>
      <w:vertAlign w:val="superscript"/>
    </w:rPr>
  </w:style>
  <w:style w:type="character" w:customStyle="1" w:styleId="40">
    <w:name w:val="font41"/>
    <w:qFormat/>
    <w:uiPriority w:val="0"/>
    <w:rPr>
      <w:rFonts w:hint="eastAsia" w:ascii="宋体" w:hAnsi="宋体" w:eastAsia="宋体" w:cs="宋体"/>
      <w:color w:val="000000"/>
      <w:sz w:val="21"/>
      <w:szCs w:val="21"/>
      <w:u w:val="none"/>
    </w:rPr>
  </w:style>
  <w:style w:type="paragraph" w:styleId="41">
    <w:name w:val=""/>
    <w:unhideWhenUsed/>
    <w:uiPriority w:val="99"/>
    <w:rPr>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35128</Words>
  <Characters>36665</Characters>
  <Lines>312</Lines>
  <Paragraphs>87</Paragraphs>
  <TotalTime>26.3333333333333</TotalTime>
  <ScaleCrop>false</ScaleCrop>
  <LinksUpToDate>false</LinksUpToDate>
  <CharactersWithSpaces>37643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2022-03-28T12:31:00Z</dcterms:created>
  <dc:creator>M</dc:creator>
  <cp:lastModifiedBy>蒋梦捷</cp:lastModifiedBy>
  <cp:lastPrinted>2023-01-22T02:43:00Z</cp:lastPrinted>
  <dcterms:modified xsi:type="dcterms:W3CDTF">2023-03-02T17:09:01Z</dcterms:modified>
  <dc:title>关于进一步加强企业安全生产标准化建设</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woTemplateTypoMode">
    <vt:lpwstr>web</vt:lpwstr>
  </property>
  <property fmtid="{D5CDD505-2E9C-101B-9397-08002B2CF9AE}" pid="4" name="woTemplate">
    <vt:r8>1</vt:r8>
  </property>
</Properties>
</file>