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56" w:after="283"/>
        <w:rPr>
          <w:rFonts w:ascii="黑体" w:hAnsi="黑体" w:eastAsia="黑体" w:cs="黑体"/>
          <w:b w:val="0"/>
          <w:bCs w:val="0"/>
          <w:sz w:val="32"/>
          <w:szCs w:val="32"/>
          <w:lang w:val="en-US"/>
        </w:rPr>
      </w:pPr>
      <w:r>
        <w:rPr>
          <w:rFonts w:hint="eastAsia" w:ascii="黑体" w:hAnsi="黑体" w:eastAsia="黑体" w:cs="黑体"/>
          <w:b w:val="0"/>
          <w:bCs w:val="0"/>
          <w:sz w:val="32"/>
          <w:szCs w:val="32"/>
          <w:lang w:val="en-US"/>
        </w:rPr>
        <w:t>附件</w:t>
      </w:r>
    </w:p>
    <w:p>
      <w:pPr>
        <w:spacing w:before="56" w:after="283"/>
        <w:jc w:val="center"/>
        <w:rPr>
          <w:rFonts w:ascii="小标宋" w:eastAsia="小标宋" w:hAnsiTheme="majorEastAsia" w:cstheme="majorEastAsia"/>
          <w:b w:val="0"/>
          <w:bCs/>
          <w:sz w:val="44"/>
          <w:szCs w:val="44"/>
          <w:lang w:val="en-US"/>
        </w:rPr>
      </w:pPr>
      <w:r>
        <w:rPr>
          <w:rFonts w:hint="eastAsia" w:ascii="小标宋" w:eastAsia="小标宋" w:hAnsiTheme="majorEastAsia" w:cstheme="majorEastAsia"/>
          <w:b w:val="0"/>
          <w:bCs/>
          <w:sz w:val="44"/>
          <w:szCs w:val="44"/>
          <w:lang w:val="en-US"/>
        </w:rPr>
        <w:t>传承创新  2021年师友计划迈出坚实步伐</w:t>
      </w:r>
    </w:p>
    <w:p>
      <w:pPr>
        <w:spacing w:before="56" w:after="283"/>
        <w:ind w:firstLine="500"/>
        <w:rPr>
          <w:rFonts w:asciiTheme="majorEastAsia" w:hAnsiTheme="majorEastAsia" w:eastAsiaTheme="majorEastAsia" w:cstheme="majorEastAsia"/>
        </w:rPr>
      </w:pPr>
      <w:r>
        <w:rPr>
          <w:rFonts w:asciiTheme="majorEastAsia" w:hAnsiTheme="majorEastAsia" w:eastAsiaTheme="majorEastAsia" w:cstheme="majorEastAsia"/>
        </w:rPr>
        <w:t>迈入第九个年度的师友计划在传承以往优良传统的同时，也往前迈出了坚实的步伐</w:t>
      </w:r>
      <w:r>
        <w:rPr>
          <w:rFonts w:hint="eastAsia" w:asciiTheme="majorEastAsia" w:hAnsiTheme="majorEastAsia" w:eastAsiaTheme="majorEastAsia" w:cstheme="majorEastAsia"/>
        </w:rPr>
        <w:t>，</w:t>
      </w:r>
      <w:r>
        <w:rPr>
          <w:rFonts w:asciiTheme="majorEastAsia" w:hAnsiTheme="majorEastAsia" w:eastAsiaTheme="majorEastAsia" w:cstheme="majorEastAsia"/>
        </w:rPr>
        <w:t>多措并举、项目联动，</w:t>
      </w:r>
      <w:r>
        <w:rPr>
          <w:rFonts w:hint="eastAsia" w:asciiTheme="majorEastAsia" w:hAnsiTheme="majorEastAsia" w:eastAsiaTheme="majorEastAsia" w:cstheme="majorEastAsia"/>
        </w:rPr>
        <w:t>持续</w:t>
      </w:r>
      <w:r>
        <w:rPr>
          <w:rFonts w:asciiTheme="majorEastAsia" w:hAnsiTheme="majorEastAsia" w:eastAsiaTheme="majorEastAsia" w:cstheme="majorEastAsia"/>
        </w:rPr>
        <w:t>提供有温度、有速度、有力度的大学生就业服务。完善见习训练工作机制</w:t>
      </w:r>
      <w:r>
        <w:rPr>
          <w:rFonts w:hint="eastAsia" w:asciiTheme="majorEastAsia" w:hAnsiTheme="majorEastAsia" w:eastAsiaTheme="majorEastAsia" w:cstheme="majorEastAsia"/>
        </w:rPr>
        <w:t>，</w:t>
      </w:r>
      <w:r>
        <w:rPr>
          <w:rFonts w:asciiTheme="majorEastAsia" w:hAnsiTheme="majorEastAsia" w:eastAsiaTheme="majorEastAsia" w:cstheme="majorEastAsia"/>
        </w:rPr>
        <w:t>提升见习训练服务水平；强化求职创业补贴审核发放，帮扶困难高校毕业生求职创业；完成首批长三角双一流高校就业创业指导站建设，推动大学生就业创业服务跨区域共建共享；汇聚青年创业要素，搭建大学生创业服务平台</w:t>
      </w:r>
      <w:r>
        <w:rPr>
          <w:rFonts w:hint="eastAsia" w:asciiTheme="majorEastAsia" w:hAnsiTheme="majorEastAsia" w:eastAsiaTheme="majorEastAsia" w:cstheme="majorEastAsia"/>
        </w:rPr>
        <w:t>，</w:t>
      </w:r>
      <w:r>
        <w:rPr>
          <w:rFonts w:asciiTheme="majorEastAsia" w:hAnsiTheme="majorEastAsia" w:eastAsiaTheme="majorEastAsia" w:cstheme="majorEastAsia"/>
        </w:rPr>
        <w:t>助力青年创业成长。</w:t>
      </w:r>
    </w:p>
    <w:p>
      <w:pPr>
        <w:spacing w:before="56" w:after="283"/>
        <w:ind w:firstLine="500"/>
        <w:rPr>
          <w:rFonts w:asciiTheme="majorEastAsia" w:hAnsiTheme="majorEastAsia" w:eastAsiaTheme="majorEastAsia" w:cstheme="majorEastAsia"/>
          <w:b/>
        </w:rPr>
      </w:pPr>
      <w:r>
        <w:rPr>
          <w:rFonts w:asciiTheme="majorEastAsia" w:hAnsiTheme="majorEastAsia" w:eastAsiaTheme="majorEastAsia" w:cstheme="majorEastAsia"/>
          <w:b/>
        </w:rPr>
        <w:t>实现见习训练数智化，促进就业服务提质增效</w:t>
      </w:r>
    </w:p>
    <w:p>
      <w:pPr>
        <w:spacing w:before="56" w:after="283"/>
        <w:ind w:firstLine="500"/>
        <w:rPr>
          <w:rFonts w:asciiTheme="majorEastAsia" w:hAnsiTheme="majorEastAsia" w:eastAsiaTheme="majorEastAsia" w:cstheme="majorEastAsia"/>
        </w:rPr>
      </w:pPr>
      <w:r>
        <w:rPr>
          <w:rFonts w:asciiTheme="majorEastAsia" w:hAnsiTheme="majorEastAsia" w:eastAsiaTheme="majorEastAsia" w:cstheme="majorEastAsia"/>
        </w:rPr>
        <w:t>完善见习训练政策、简化群众办事流程。以“数字就业”建设为契机，梳理完善大学生见习训练政策，减少岗位信息发布、学员报名和协议续签等业务环节，优化学员备案、补贴审核流程，精简基地认定、补贴申请材料，压缩见习事项审核时限，实行多项见习补贴申请“打包办”。新增见习基地116家，组织见习训练岗位40000余个，组织见习训练大学生8100余人，审核拨付见习训练补贴3756.31万元</w:t>
      </w:r>
    </w:p>
    <w:p>
      <w:pPr>
        <w:spacing w:before="56" w:after="283"/>
        <w:ind w:firstLine="500"/>
        <w:rPr>
          <w:rFonts w:asciiTheme="majorEastAsia" w:hAnsiTheme="majorEastAsia" w:eastAsiaTheme="majorEastAsia" w:cstheme="majorEastAsia"/>
        </w:rPr>
      </w:pPr>
      <w:r>
        <w:rPr>
          <w:rFonts w:asciiTheme="majorEastAsia" w:hAnsiTheme="majorEastAsia" w:eastAsiaTheme="majorEastAsia" w:cstheme="majorEastAsia"/>
        </w:rPr>
        <w:t>见习训练补贴实现“无感智办”，见习训练政策实现“无碍智询”。对符合享受见习基地建设补助、招用补贴和疫情期间提前招用剩余期见习补贴的企业，在其不知晓政策、无需提供任何资料的条件下，系统主动推送，企业一键确认，即可完成补贴申请，实现见习训练补贴“无感智办”。拟人化梳理见习训练对象、条件、标准、流程等政策问题，多轮AI机器人训练，实现见习政策“AI智询”。</w:t>
      </w:r>
    </w:p>
    <w:p>
      <w:pPr>
        <w:spacing w:before="56" w:after="283"/>
        <w:ind w:firstLine="500"/>
        <w:rPr>
          <w:rFonts w:asciiTheme="majorEastAsia" w:hAnsiTheme="majorEastAsia" w:eastAsiaTheme="majorEastAsia" w:cstheme="majorEastAsia"/>
          <w:b/>
        </w:rPr>
      </w:pPr>
      <w:r>
        <w:rPr>
          <w:rFonts w:asciiTheme="majorEastAsia" w:hAnsiTheme="majorEastAsia" w:eastAsiaTheme="majorEastAsia" w:cstheme="majorEastAsia"/>
          <w:b/>
        </w:rPr>
        <w:t>强化求职创业补贴审核发放，帮扶困难高校毕业生求职创业</w:t>
      </w:r>
    </w:p>
    <w:p>
      <w:pPr>
        <w:spacing w:before="56" w:after="283"/>
        <w:ind w:firstLine="500"/>
        <w:rPr>
          <w:rFonts w:asciiTheme="majorEastAsia" w:hAnsiTheme="majorEastAsia" w:eastAsiaTheme="majorEastAsia" w:cstheme="majorEastAsia"/>
        </w:rPr>
      </w:pPr>
      <w:r>
        <w:rPr>
          <w:rFonts w:asciiTheme="majorEastAsia" w:hAnsiTheme="majorEastAsia" w:eastAsiaTheme="majorEastAsia" w:cstheme="majorEastAsia"/>
        </w:rPr>
        <w:t>组织召开“2021年杭州市求职创业补贴政策解读暨业务操作培训会”，向全市100余家高校、中职学校（含技工院校）及区、县（市）人社部门的业务经办人员解读政策口径和培训系统操作，并要求坚持“四到位”，即“宣传到位”、“通知到位”、“审核到位”和“拨付到位”。审核求职创业补贴申请12250人次，审核通过8528人，补贴资金2558.4万元。其中，市本级审核求职创业补贴申请11510人次，审核通过8013人，补贴资金2403.9万元。</w:t>
      </w:r>
    </w:p>
    <w:p>
      <w:pPr>
        <w:spacing w:before="56" w:after="283"/>
        <w:ind w:firstLine="500"/>
        <w:rPr>
          <w:rFonts w:asciiTheme="majorEastAsia" w:hAnsiTheme="majorEastAsia" w:eastAsiaTheme="majorEastAsia" w:cstheme="majorEastAsia"/>
          <w:b/>
        </w:rPr>
      </w:pPr>
      <w:r>
        <w:rPr>
          <w:rFonts w:asciiTheme="majorEastAsia" w:hAnsiTheme="majorEastAsia" w:eastAsiaTheme="majorEastAsia" w:cstheme="majorEastAsia"/>
          <w:b/>
        </w:rPr>
        <w:t>建立首批长三角双一流高校就业创业指导站，实现区域就创服务共建共享</w:t>
      </w:r>
    </w:p>
    <w:p>
      <w:pPr>
        <w:spacing w:before="56" w:after="283"/>
        <w:ind w:firstLine="500"/>
        <w:rPr>
          <w:rFonts w:asciiTheme="majorEastAsia" w:hAnsiTheme="majorEastAsia" w:eastAsiaTheme="majorEastAsia" w:cstheme="majorEastAsia"/>
        </w:rPr>
      </w:pPr>
      <w:r>
        <w:rPr>
          <w:rFonts w:asciiTheme="majorEastAsia" w:hAnsiTheme="majorEastAsia" w:eastAsiaTheme="majorEastAsia" w:cstheme="majorEastAsia"/>
        </w:rPr>
        <w:t>分别与南京大学、东南大学、南京理工大学、宁波大学和上海财经大学等5所长三角区域双一流高校签订杭州市大学生就业创业指导站建站协议</w:t>
      </w:r>
      <w:r>
        <w:rPr>
          <w:rFonts w:hint="eastAsia" w:asciiTheme="majorEastAsia" w:hAnsiTheme="majorEastAsia" w:eastAsiaTheme="majorEastAsia" w:cstheme="majorEastAsia"/>
        </w:rPr>
        <w:t>，</w:t>
      </w:r>
      <w:r>
        <w:rPr>
          <w:rFonts w:asciiTheme="majorEastAsia" w:hAnsiTheme="majorEastAsia" w:eastAsiaTheme="majorEastAsia" w:cstheme="majorEastAsia"/>
        </w:rPr>
        <w:t>依托“一起招聘会”、“职场体验行”、“创业见习训练”、“生涯规划咨询”和“导师聘任”等服务项目，推动大学生就业创业服务共建共享长效机制有效落地。2021年，组织海康威视、网易、杭州地铁等18家杭州市知名企业组团赴南京大学、东南大学和南京理工大学开展就业见习专场招聘会，</w:t>
      </w:r>
      <w:r>
        <w:rPr>
          <w:rFonts w:hint="eastAsia" w:asciiTheme="majorEastAsia" w:hAnsiTheme="majorEastAsia" w:eastAsiaTheme="majorEastAsia" w:cstheme="majorEastAsia"/>
        </w:rPr>
        <w:t>提供岗位6000余个，</w:t>
      </w:r>
      <w:r>
        <w:rPr>
          <w:rFonts w:asciiTheme="majorEastAsia" w:hAnsiTheme="majorEastAsia" w:eastAsiaTheme="majorEastAsia" w:cstheme="majorEastAsia"/>
        </w:rPr>
        <w:t xml:space="preserve">现场达成初步意向200余人。     </w:t>
      </w:r>
    </w:p>
    <w:p>
      <w:pPr>
        <w:spacing w:before="56" w:after="283"/>
        <w:ind w:firstLine="500"/>
        <w:rPr>
          <w:rFonts w:asciiTheme="majorEastAsia" w:hAnsiTheme="majorEastAsia" w:eastAsiaTheme="majorEastAsia" w:cstheme="majorEastAsia"/>
          <w:b/>
        </w:rPr>
      </w:pPr>
      <w:r>
        <w:rPr>
          <w:rFonts w:asciiTheme="majorEastAsia" w:hAnsiTheme="majorEastAsia" w:eastAsiaTheme="majorEastAsia" w:cstheme="majorEastAsia"/>
          <w:b/>
        </w:rPr>
        <w:t>汇聚青年创业要素，搭建</w:t>
      </w:r>
      <w:r>
        <w:rPr>
          <w:rFonts w:hint="eastAsia" w:asciiTheme="majorEastAsia" w:hAnsiTheme="majorEastAsia" w:eastAsiaTheme="majorEastAsia" w:cstheme="majorEastAsia"/>
          <w:b/>
        </w:rPr>
        <w:t>大学生</w:t>
      </w:r>
      <w:r>
        <w:rPr>
          <w:rFonts w:asciiTheme="majorEastAsia" w:hAnsiTheme="majorEastAsia" w:eastAsiaTheme="majorEastAsia" w:cstheme="majorEastAsia"/>
          <w:b/>
        </w:rPr>
        <w:t>创业服务平台</w:t>
      </w:r>
    </w:p>
    <w:p>
      <w:pPr>
        <w:spacing w:before="56" w:after="283"/>
        <w:ind w:firstLine="500"/>
        <w:rPr>
          <w:rFonts w:asciiTheme="majorEastAsia" w:hAnsiTheme="majorEastAsia" w:eastAsiaTheme="majorEastAsia" w:cstheme="majorEastAsia"/>
        </w:rPr>
      </w:pPr>
      <w:r>
        <w:rPr>
          <w:rFonts w:asciiTheme="majorEastAsia" w:hAnsiTheme="majorEastAsia" w:eastAsiaTheme="majorEastAsia" w:cstheme="majorEastAsia"/>
        </w:rPr>
        <w:t>以杭州市大学生就业创业师友计划“有何高见”项目为载体，汇聚杭州市人社部门创业相关政策，认定创业培育基地24家，录制创业课程30门，征集创业导师100余名，搭建“有何高见”创业服务线上平台。举办创业相关活动20余场，参与创业见习基地10家，参与高校34所，参与导师100余人，服务学生1000余人，有效助力青年创业成长。</w:t>
      </w:r>
    </w:p>
    <w:p>
      <w:pPr>
        <w:spacing w:before="56" w:after="283"/>
        <w:ind w:firstLine="500"/>
        <w:rPr>
          <w:rFonts w:asciiTheme="majorEastAsia" w:hAnsiTheme="majorEastAsia" w:eastAsiaTheme="majorEastAsia" w:cstheme="majorEastAsia"/>
          <w:b/>
        </w:rPr>
      </w:pPr>
      <w:r>
        <w:rPr>
          <w:rFonts w:asciiTheme="majorEastAsia" w:hAnsiTheme="majorEastAsia" w:eastAsiaTheme="majorEastAsia" w:cstheme="majorEastAsia"/>
          <w:b/>
        </w:rPr>
        <w:t>全方位打造生涯服务体系化建设，助力青年鲲鹏展翅</w:t>
      </w:r>
    </w:p>
    <w:p>
      <w:pPr>
        <w:spacing w:before="56" w:after="283"/>
        <w:ind w:firstLine="500"/>
        <w:rPr>
          <w:rFonts w:asciiTheme="majorEastAsia" w:hAnsiTheme="majorEastAsia" w:eastAsiaTheme="majorEastAsia" w:cstheme="majorEastAsia"/>
        </w:rPr>
      </w:pPr>
      <w:r>
        <w:rPr>
          <w:rFonts w:asciiTheme="majorEastAsia" w:hAnsiTheme="majorEastAsia" w:eastAsiaTheme="majorEastAsia" w:cstheme="majorEastAsia"/>
        </w:rPr>
        <w:t>打造共创师资培育新体系。开展第三届共创式生涯教育发展课程与项目设计大赛，吸引200余名在杭高校和企业人力资源管理人士报名参赛。创新推出“1导师+1助教导师”的共创师资传帮带模式，为入围复赛选手提供集中培训及后续研习督导活动的师资支持。建立共创式生涯教育师资等级制，首次认定高级共创师10人，中级共创师20人，初级共创师50人。</w:t>
      </w:r>
    </w:p>
    <w:p>
      <w:pPr>
        <w:spacing w:before="56" w:after="283"/>
        <w:ind w:firstLine="500"/>
        <w:rPr>
          <w:rFonts w:asciiTheme="majorEastAsia" w:hAnsiTheme="majorEastAsia" w:eastAsiaTheme="majorEastAsia" w:cstheme="majorEastAsia"/>
        </w:rPr>
      </w:pPr>
      <w:r>
        <w:rPr>
          <w:rFonts w:asciiTheme="majorEastAsia" w:hAnsiTheme="majorEastAsia" w:eastAsiaTheme="majorEastAsia" w:cstheme="majorEastAsia"/>
        </w:rPr>
        <w:t xml:space="preserve">拓展共创生涯服务实践新维度。以每周一次的频率，推出大学生常态化生涯咨询“小鹏助飞”空中咨询，新设置线上咨询24小时回复服务。2021年，联合27家高校指导站开展45期小鹏助飞“乐业杭州”生涯共创营，覆盖202名导师和1635名学生。开展常态化“小鹏助飞”空中咨询活动58场，207 位导师提供一对一服务，惠及学生838人。  </w:t>
      </w:r>
    </w:p>
    <w:p>
      <w:pPr>
        <w:spacing w:before="56" w:after="283"/>
        <w:ind w:firstLine="500"/>
        <w:rPr>
          <w:rFonts w:asciiTheme="majorEastAsia" w:hAnsiTheme="majorEastAsia" w:eastAsiaTheme="majorEastAsia" w:cstheme="majorEastAsia"/>
          <w:b/>
        </w:rPr>
      </w:pPr>
      <w:r>
        <w:rPr>
          <w:rFonts w:asciiTheme="majorEastAsia" w:hAnsiTheme="majorEastAsia" w:eastAsiaTheme="majorEastAsia" w:cstheme="majorEastAsia"/>
          <w:b/>
        </w:rPr>
        <w:t>健全杭州就业校园大使管理机制  强化朋辈互助新模式</w:t>
      </w:r>
    </w:p>
    <w:p>
      <w:pPr>
        <w:spacing w:before="56" w:after="283"/>
        <w:ind w:firstLine="500"/>
        <w:rPr>
          <w:rFonts w:asciiTheme="majorEastAsia" w:hAnsiTheme="majorEastAsia" w:eastAsiaTheme="majorEastAsia" w:cstheme="majorEastAsia"/>
        </w:rPr>
      </w:pPr>
      <w:r>
        <w:rPr>
          <w:rFonts w:asciiTheme="majorEastAsia" w:hAnsiTheme="majorEastAsia" w:eastAsiaTheme="majorEastAsia" w:cstheme="majorEastAsia"/>
        </w:rPr>
        <w:t>出台《杭州就业校园大使管理办法》，夯实杭州就业校园大使管理工作基础。研究制定校园大使团建及评优方案，提升团队的凝聚力、创造力和工作主动性。启动第二届杭州就业校园大使聘任工作，推进校园大使队伍扩容增效，聘任33所高校309位同学为杭州就业校园大使，通过团建活动提升团队凝聚力。</w:t>
      </w:r>
    </w:p>
    <w:p>
      <w:pPr>
        <w:spacing w:before="56" w:after="283"/>
        <w:ind w:firstLine="500"/>
        <w:rPr>
          <w:rFonts w:asciiTheme="majorEastAsia" w:hAnsiTheme="majorEastAsia" w:eastAsiaTheme="majorEastAsia" w:cstheme="majorEastAsia"/>
          <w:b/>
        </w:rPr>
      </w:pPr>
      <w:r>
        <w:rPr>
          <w:rFonts w:asciiTheme="majorEastAsia" w:hAnsiTheme="majorEastAsia" w:eastAsiaTheme="majorEastAsia" w:cstheme="majorEastAsia"/>
          <w:b/>
        </w:rPr>
        <w:t>推动优质公共就业服务进校园，便捷服务不断线</w:t>
      </w:r>
    </w:p>
    <w:p>
      <w:pPr>
        <w:spacing w:before="56" w:after="283"/>
        <w:ind w:firstLine="500"/>
        <w:rPr>
          <w:rFonts w:asciiTheme="majorEastAsia" w:hAnsiTheme="majorEastAsia" w:eastAsiaTheme="majorEastAsia" w:cstheme="majorEastAsia"/>
        </w:rPr>
      </w:pPr>
      <w:r>
        <w:rPr>
          <w:rFonts w:asciiTheme="majorEastAsia" w:hAnsiTheme="majorEastAsia" w:eastAsiaTheme="majorEastAsia" w:cstheme="majorEastAsia"/>
        </w:rPr>
        <w:t>2021年共举办校园招聘34期，组织进场单位7100余家，提供就业岗位213000余个，吸引56500余名学生入场，达成初步意向17800余人。举办“直播带岗”活动，吸引娃哈哈、吉利、亚厦、缦图、涂鸦和华数6家企业参与，4800余名学生参与观摩应聘。组织“导师面对面”现场咨询90次，参与导师480余人次，服务学生19270余人次。举办校园讲座150余期，服务学生19270余人次。开展160余场职场体验活动，共助力7330余名学生提前感知企业文化和职场氛围，明晰职业方向。</w:t>
      </w:r>
    </w:p>
    <w:p>
      <w:bookmarkStart w:id="0" w:name="_GoBack"/>
      <w:bookmarkEnd w:id="0"/>
    </w:p>
    <w:sectPr>
      <w:footerReference r:id="rId4" w:type="first"/>
      <w:footerReference r:id="rId3" w:type="default"/>
      <w:footnotePr>
        <w:numRestart w:val="eachSect"/>
      </w:footnotePr>
      <w:endnotePr>
        <w:numFmt w:val="decimal"/>
        <w:numRestart w:val="eachSect"/>
      </w:endnotePr>
      <w:pgSz w:w="11900" w:h="16840"/>
      <w:pgMar w:top="1360" w:right="1360" w:bottom="1360" w:left="1360" w:header="737" w:footer="566" w:gutter="0"/>
      <w:cols w:space="720" w:num="1"/>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Baskerville">
    <w:altName w:val="宋体"/>
    <w:panose1 w:val="00000000000000000000"/>
    <w:charset w:val="86"/>
    <w:family w:val="auto"/>
    <w:pitch w:val="default"/>
    <w:sig w:usb0="00000000" w:usb1="00000000" w:usb2="00000000" w:usb3="00000000" w:csb0="2000019F" w:csb1="00000000"/>
  </w:font>
  <w:font w:name="小标宋">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3370461"/>
      <w:docPartObj>
        <w:docPartGallery w:val="autotext"/>
      </w:docPartObj>
    </w:sdtPr>
    <w:sdtContent>
      <w:p>
        <w:pPr>
          <w:pStyle w:val="2"/>
          <w:jc w:val="center"/>
        </w:pPr>
        <w:r>
          <w:fldChar w:fldCharType="begin"/>
        </w:r>
        <w:r>
          <w:instrText xml:space="preserve">PAGE   \* MERGEFORMAT</w:instrText>
        </w:r>
        <w:r>
          <w:fldChar w:fldCharType="separate"/>
        </w:r>
        <w:r>
          <w:t>2</w:t>
        </w:r>
        <w:r>
          <w:fldChar w:fldCharType="end"/>
        </w:r>
      </w:p>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47753461"/>
      <w:docPartObj>
        <w:docPartGallery w:val="autotext"/>
      </w:docPartObj>
    </w:sdtPr>
    <w:sdtContent>
      <w:p>
        <w:pPr>
          <w:pStyle w:val="2"/>
          <w:jc w:val="center"/>
        </w:pPr>
        <w:r>
          <w:fldChar w:fldCharType="begin"/>
        </w:r>
        <w:r>
          <w:instrText xml:space="preserve">PAGE   \* MERGEFORMAT</w:instrText>
        </w:r>
        <w:r>
          <w:fldChar w:fldCharType="separate"/>
        </w:r>
        <w:r>
          <w:t>1</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numRestart w:val="eachSect"/>
  </w:footnotePr>
  <w:endnotePr>
    <w:numFmt w:val="decimal"/>
    <w:numRestart w:val="eachSect"/>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05B2F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Baskerville" w:hAnsi="Baskerville" w:eastAsia="Baskerville" w:cs="Baskerville"/>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uppressAutoHyphens/>
      <w:spacing w:line="360" w:lineRule="atLeast"/>
    </w:pPr>
    <w:rPr>
      <w:rFonts w:ascii="Baskerville" w:hAnsi="Baskerville" w:eastAsia="Baskerville" w:cs="Baskerville"/>
      <w:sz w:val="24"/>
      <w:szCs w:val="24"/>
      <w:lang w:val="zh-CN" w:eastAsia="zh-CN" w:bidi="zh-CN"/>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spacing w:line="240" w:lineRule="atLeast"/>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Office_10.1.0.7468_F1E327BC-269C-435d-A152-05C5408002CA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2021-12-13T01:55:01Z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