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EF2" w:rsidRDefault="003F5178">
      <w:pPr>
        <w:snapToGrid w:val="0"/>
        <w:spacing w:line="240" w:lineRule="auto"/>
        <w:jc w:val="center"/>
        <w:outlineLvl w:val="0"/>
        <w:rPr>
          <w:rFonts w:ascii="方正小标宋_GBK" w:eastAsia="方正小标宋_GBK" w:hAnsi="方正小标宋_GBK"/>
          <w:sz w:val="44"/>
        </w:rPr>
      </w:pPr>
      <w:bookmarkStart w:id="0" w:name="_Toc15344"/>
      <w:bookmarkStart w:id="1" w:name="_Toc48"/>
      <w:bookmarkStart w:id="2" w:name="_Toc10250"/>
      <w:bookmarkStart w:id="3" w:name="_Toc28698"/>
      <w:bookmarkStart w:id="4" w:name="_Toc20948"/>
      <w:bookmarkStart w:id="5" w:name="_Toc32035"/>
      <w:bookmarkStart w:id="6" w:name="_Toc24789"/>
      <w:bookmarkStart w:id="7" w:name="_Toc27477"/>
      <w:bookmarkStart w:id="8" w:name="_Toc14502"/>
      <w:bookmarkStart w:id="9" w:name="_Toc7400"/>
      <w:bookmarkStart w:id="10" w:name="_Toc18308"/>
      <w:bookmarkStart w:id="11" w:name="_GoBack"/>
      <w:r>
        <w:rPr>
          <w:rFonts w:ascii="方正书宋_GBK" w:eastAsia="方正书宋_GBK" w:hAnsi="方正书宋_GBK" w:hint="eastAsia"/>
          <w:sz w:val="44"/>
        </w:rPr>
        <w:t>杭州市商务发展“十四五”规划</w:t>
      </w:r>
      <w:bookmarkEnd w:id="0"/>
      <w:bookmarkEnd w:id="1"/>
      <w:bookmarkEnd w:id="2"/>
      <w:bookmarkEnd w:id="3"/>
      <w:bookmarkEnd w:id="4"/>
      <w:bookmarkEnd w:id="5"/>
      <w:bookmarkEnd w:id="6"/>
      <w:bookmarkEnd w:id="7"/>
      <w:bookmarkEnd w:id="8"/>
      <w:bookmarkEnd w:id="9"/>
      <w:bookmarkEnd w:id="10"/>
    </w:p>
    <w:bookmarkEnd w:id="11"/>
    <w:p w:rsidR="00CD2EF2" w:rsidRDefault="00CD2EF2">
      <w:pPr>
        <w:snapToGrid w:val="0"/>
        <w:spacing w:line="240" w:lineRule="auto"/>
        <w:jc w:val="center"/>
        <w:outlineLvl w:val="0"/>
        <w:rPr>
          <w:rFonts w:ascii="方正书宋_GBK" w:eastAsia="方正书宋_GBK" w:hAnsi="方正书宋_GBK"/>
          <w:sz w:val="44"/>
          <w:szCs w:val="44"/>
        </w:rPr>
      </w:pPr>
    </w:p>
    <w:p w:rsidR="00CD2EF2" w:rsidRDefault="003F5178" w:rsidP="00BA1400">
      <w:pPr>
        <w:pStyle w:val="af7"/>
        <w:widowControl w:val="0"/>
        <w:snapToGrid w:val="0"/>
        <w:spacing w:line="336" w:lineRule="auto"/>
        <w:ind w:firstLine="628"/>
        <w:rPr>
          <w:rFonts w:ascii="仿宋_GB2312" w:hAnsi="仿宋_GB2312"/>
          <w:spacing w:val="-6"/>
          <w:kern w:val="2"/>
        </w:rPr>
      </w:pPr>
      <w:r>
        <w:rPr>
          <w:rFonts w:ascii="仿宋_GB2312" w:hAnsi="仿宋_GB2312" w:hint="eastAsia"/>
          <w:spacing w:val="-6"/>
          <w:kern w:val="2"/>
        </w:rPr>
        <w:t>为加快推进“十四五”时期杭州商务发展，根据《浙江省商务高质量发展“十四五”规划》和《杭州市国民经济和社会发展第十四个五年规划和二〇三五年远景目标纲要》精神，特制定本规划。</w:t>
      </w:r>
      <w:r>
        <w:rPr>
          <w:rFonts w:ascii="仿宋_GB2312" w:hAnsi="仿宋_GB2312" w:hint="eastAsia"/>
          <w:spacing w:val="-6"/>
          <w:kern w:val="2"/>
        </w:rPr>
        <w:t>规划期限为</w:t>
      </w:r>
      <w:r>
        <w:rPr>
          <w:rFonts w:ascii="仿宋_GB2312" w:hAnsi="仿宋_GB2312" w:hint="eastAsia"/>
          <w:spacing w:val="-6"/>
          <w:kern w:val="2"/>
        </w:rPr>
        <w:t>2021</w:t>
      </w:r>
      <w:r>
        <w:rPr>
          <w:rFonts w:ascii="仿宋_GB2312" w:hAnsi="仿宋_GB2312" w:hint="eastAsia"/>
          <w:spacing w:val="-6"/>
          <w:kern w:val="2"/>
        </w:rPr>
        <w:t>—</w:t>
      </w:r>
      <w:r>
        <w:rPr>
          <w:rFonts w:ascii="仿宋_GB2312" w:hAnsi="仿宋_GB2312" w:hint="eastAsia"/>
          <w:spacing w:val="-6"/>
          <w:kern w:val="2"/>
        </w:rPr>
        <w:t>2025</w:t>
      </w:r>
      <w:r>
        <w:rPr>
          <w:rFonts w:ascii="仿宋_GB2312" w:hAnsi="仿宋_GB2312" w:hint="eastAsia"/>
          <w:spacing w:val="-6"/>
          <w:kern w:val="2"/>
        </w:rPr>
        <w:t>年。</w:t>
      </w:r>
    </w:p>
    <w:p w:rsidR="00CD2EF2" w:rsidRDefault="003F5178" w:rsidP="00BA1400">
      <w:pPr>
        <w:snapToGrid w:val="0"/>
        <w:spacing w:line="336" w:lineRule="auto"/>
        <w:ind w:firstLineChars="200" w:firstLine="628"/>
        <w:outlineLvl w:val="0"/>
        <w:rPr>
          <w:rFonts w:eastAsia="黑体"/>
        </w:rPr>
      </w:pPr>
      <w:bookmarkStart w:id="12" w:name="_Toc12751"/>
      <w:bookmarkStart w:id="13" w:name="_Toc8787"/>
      <w:bookmarkStart w:id="14" w:name="_Toc22106"/>
      <w:bookmarkStart w:id="15" w:name="_Toc1838"/>
      <w:bookmarkStart w:id="16" w:name="_Toc11746"/>
      <w:bookmarkStart w:id="17" w:name="_Toc17476"/>
      <w:bookmarkStart w:id="18" w:name="_Toc9273"/>
      <w:bookmarkStart w:id="19" w:name="_Toc8006"/>
      <w:bookmarkStart w:id="20" w:name="_Toc21156"/>
      <w:bookmarkStart w:id="21" w:name="_Toc1303"/>
      <w:bookmarkStart w:id="22" w:name="_Toc30919"/>
      <w:r>
        <w:rPr>
          <w:rFonts w:eastAsia="黑体" w:hint="eastAsia"/>
        </w:rPr>
        <w:t>一、“十三五”时期杭州商务发展回顾</w:t>
      </w:r>
      <w:bookmarkEnd w:id="12"/>
      <w:bookmarkEnd w:id="13"/>
      <w:bookmarkEnd w:id="14"/>
      <w:bookmarkEnd w:id="15"/>
      <w:bookmarkEnd w:id="16"/>
      <w:bookmarkEnd w:id="17"/>
      <w:bookmarkEnd w:id="18"/>
      <w:bookmarkEnd w:id="19"/>
      <w:bookmarkEnd w:id="20"/>
      <w:bookmarkEnd w:id="21"/>
      <w:bookmarkEnd w:id="22"/>
    </w:p>
    <w:p w:rsidR="00CD2EF2" w:rsidRDefault="003F5178" w:rsidP="00BA1400">
      <w:pPr>
        <w:pStyle w:val="af7"/>
        <w:widowControl w:val="0"/>
        <w:snapToGrid w:val="0"/>
        <w:spacing w:line="336" w:lineRule="auto"/>
        <w:ind w:firstLine="628"/>
        <w:rPr>
          <w:spacing w:val="-6"/>
          <w:kern w:val="2"/>
        </w:rPr>
      </w:pPr>
      <w:r>
        <w:rPr>
          <w:rFonts w:hint="eastAsia"/>
          <w:spacing w:val="-6"/>
          <w:kern w:val="2"/>
        </w:rPr>
        <w:t>“十三五”时期，面对复杂多变的国际国内环境，我市深入实施“开拓大市场、发展大商贸、推进大开放”战略，重构持续发展新动力，厚植商务发展新优势，营造市场化、法治化、国际化营商环境，商务领域各项工作取得新成就，对全市经济社会发展</w:t>
      </w:r>
      <w:proofErr w:type="gramStart"/>
      <w:r>
        <w:rPr>
          <w:rFonts w:hint="eastAsia"/>
          <w:spacing w:val="-6"/>
          <w:kern w:val="2"/>
        </w:rPr>
        <w:t>作出</w:t>
      </w:r>
      <w:proofErr w:type="gramEnd"/>
      <w:r>
        <w:rPr>
          <w:rFonts w:hint="eastAsia"/>
          <w:spacing w:val="-6"/>
          <w:kern w:val="2"/>
        </w:rPr>
        <w:t>新贡献。</w:t>
      </w:r>
    </w:p>
    <w:p w:rsidR="00CD2EF2" w:rsidRDefault="003F5178" w:rsidP="00BA1400">
      <w:pPr>
        <w:snapToGrid w:val="0"/>
        <w:spacing w:line="336" w:lineRule="auto"/>
        <w:ind w:firstLineChars="200" w:firstLine="628"/>
        <w:outlineLvl w:val="1"/>
        <w:rPr>
          <w:rFonts w:eastAsia="楷体_GB2312"/>
        </w:rPr>
      </w:pPr>
      <w:bookmarkStart w:id="23" w:name="_Toc19972"/>
      <w:bookmarkStart w:id="24" w:name="_Toc26915"/>
      <w:bookmarkStart w:id="25" w:name="_Toc12519"/>
      <w:bookmarkStart w:id="26" w:name="_Toc8994"/>
      <w:bookmarkStart w:id="27" w:name="_Toc25562"/>
      <w:bookmarkStart w:id="28" w:name="_Toc191"/>
      <w:bookmarkStart w:id="29" w:name="_Toc20820"/>
      <w:bookmarkStart w:id="30" w:name="_Toc5941"/>
      <w:bookmarkStart w:id="31" w:name="_Toc9839"/>
      <w:bookmarkStart w:id="32" w:name="_Toc13850"/>
      <w:bookmarkStart w:id="33" w:name="_Toc16940"/>
      <w:r>
        <w:rPr>
          <w:rFonts w:eastAsia="楷体_GB2312" w:hint="eastAsia"/>
        </w:rPr>
        <w:t>（一）商贸流通取得新成效</w:t>
      </w:r>
      <w:bookmarkEnd w:id="23"/>
      <w:bookmarkEnd w:id="24"/>
      <w:bookmarkEnd w:id="25"/>
      <w:bookmarkEnd w:id="26"/>
      <w:bookmarkEnd w:id="27"/>
      <w:bookmarkEnd w:id="28"/>
      <w:bookmarkEnd w:id="29"/>
      <w:bookmarkEnd w:id="30"/>
      <w:bookmarkEnd w:id="31"/>
      <w:bookmarkEnd w:id="32"/>
      <w:bookmarkEnd w:id="33"/>
      <w:r>
        <w:rPr>
          <w:rFonts w:eastAsia="楷体_GB2312" w:hint="eastAsia"/>
        </w:rPr>
        <w:t>。</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1.</w:t>
      </w:r>
      <w:r>
        <w:rPr>
          <w:rFonts w:ascii="仿宋_GB2312" w:eastAsia="仿宋_GB2312" w:hAnsi="仿宋_GB2312" w:hint="eastAsia"/>
          <w:spacing w:val="-6"/>
          <w:kern w:val="2"/>
        </w:rPr>
        <w:t>商贸流通规模持续扩大。</w:t>
      </w:r>
      <w:r>
        <w:rPr>
          <w:rFonts w:ascii="仿宋_GB2312" w:eastAsia="仿宋_GB2312" w:hAnsi="仿宋_GB2312" w:hint="eastAsia"/>
          <w:spacing w:val="-6"/>
          <w:kern w:val="2"/>
        </w:rPr>
        <w:t>“十三五”</w:t>
      </w:r>
      <w:r>
        <w:rPr>
          <w:rFonts w:ascii="仿宋_GB2312" w:eastAsia="仿宋_GB2312" w:hAnsi="仿宋_GB2312" w:hint="eastAsia"/>
          <w:spacing w:val="-6"/>
          <w:kern w:val="2"/>
        </w:rPr>
        <w:t>时</w:t>
      </w:r>
      <w:r>
        <w:rPr>
          <w:rFonts w:ascii="仿宋_GB2312" w:eastAsia="仿宋_GB2312" w:hAnsi="仿宋_GB2312" w:hint="eastAsia"/>
          <w:spacing w:val="-6"/>
          <w:kern w:val="2"/>
        </w:rPr>
        <w:t>期，杭州市社会消费品零售总额增长迅速，</w:t>
      </w:r>
      <w:r>
        <w:rPr>
          <w:rFonts w:ascii="仿宋_GB2312" w:eastAsia="仿宋_GB2312" w:hAnsi="仿宋_GB2312" w:hint="eastAsia"/>
          <w:spacing w:val="-6"/>
          <w:kern w:val="2"/>
        </w:rPr>
        <w:t>2020</w:t>
      </w:r>
      <w:r>
        <w:rPr>
          <w:rFonts w:ascii="仿宋_GB2312" w:eastAsia="仿宋_GB2312" w:hAnsi="仿宋_GB2312" w:hint="eastAsia"/>
          <w:spacing w:val="-6"/>
          <w:kern w:val="2"/>
        </w:rPr>
        <w:t>年</w:t>
      </w:r>
      <w:r>
        <w:rPr>
          <w:rFonts w:ascii="仿宋_GB2312" w:eastAsia="仿宋_GB2312" w:hAnsi="仿宋_GB2312" w:hint="eastAsia"/>
          <w:spacing w:val="-6"/>
          <w:kern w:val="2"/>
        </w:rPr>
        <w:t>，</w:t>
      </w:r>
      <w:r>
        <w:rPr>
          <w:rFonts w:ascii="仿宋_GB2312" w:eastAsia="仿宋_GB2312" w:hAnsi="仿宋_GB2312" w:hint="eastAsia"/>
          <w:spacing w:val="-6"/>
          <w:kern w:val="2"/>
        </w:rPr>
        <w:t>社会消费品零售总额达到</w:t>
      </w:r>
      <w:r>
        <w:rPr>
          <w:rFonts w:ascii="仿宋_GB2312" w:eastAsia="仿宋_GB2312" w:hAnsi="仿宋_GB2312" w:hint="eastAsia"/>
          <w:spacing w:val="-6"/>
          <w:kern w:val="2"/>
        </w:rPr>
        <w:t>6055</w:t>
      </w:r>
      <w:r>
        <w:rPr>
          <w:rFonts w:ascii="仿宋_GB2312" w:eastAsia="仿宋_GB2312" w:hAnsi="仿宋_GB2312" w:hint="eastAsia"/>
          <w:spacing w:val="-6"/>
          <w:kern w:val="2"/>
        </w:rPr>
        <w:t>亿元，较“十二五”末增长</w:t>
      </w:r>
      <w:r>
        <w:rPr>
          <w:rFonts w:ascii="仿宋_GB2312" w:eastAsia="仿宋_GB2312" w:hAnsi="仿宋_GB2312" w:hint="eastAsia"/>
          <w:spacing w:val="-6"/>
          <w:kern w:val="2"/>
        </w:rPr>
        <w:t>39.5%</w:t>
      </w:r>
      <w:r>
        <w:rPr>
          <w:rFonts w:ascii="仿宋_GB2312" w:eastAsia="仿宋_GB2312" w:hAnsi="仿宋_GB2312" w:hint="eastAsia"/>
          <w:spacing w:val="-6"/>
          <w:kern w:val="2"/>
        </w:rPr>
        <w:t>。批发零售、住宿餐饮行业均保持稳步增长态势，“十三五”期间总体保持较快增幅。</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color w:val="000000"/>
        </w:rPr>
        <w:t>2.</w:t>
      </w:r>
      <w:r>
        <w:rPr>
          <w:rFonts w:ascii="仿宋_GB2312" w:hAnsi="仿宋_GB2312" w:hint="eastAsia"/>
          <w:color w:val="000000"/>
        </w:rPr>
        <w:t>商</w:t>
      </w:r>
      <w:r>
        <w:rPr>
          <w:rFonts w:ascii="仿宋_GB2312" w:hAnsi="仿宋_GB2312" w:hint="eastAsia"/>
        </w:rPr>
        <w:t>贸流通体系逐步健全。</w:t>
      </w:r>
      <w:r>
        <w:rPr>
          <w:rFonts w:ascii="仿宋_GB2312" w:hAnsi="仿宋_GB2312" w:hint="eastAsia"/>
        </w:rPr>
        <w:t>“十三五”时期，制定了全国首个国际化商业特色街和高品质步行街评价地方标准，湖滨步行街被评为全国示范步行街。杭州大厦等</w:t>
      </w:r>
      <w:r>
        <w:rPr>
          <w:rFonts w:ascii="仿宋_GB2312" w:hAnsi="仿宋_GB2312" w:hint="eastAsia"/>
        </w:rPr>
        <w:t>27</w:t>
      </w:r>
      <w:r>
        <w:rPr>
          <w:rFonts w:ascii="仿宋_GB2312" w:hAnsi="仿宋_GB2312" w:hint="eastAsia"/>
        </w:rPr>
        <w:t>个综合体、企业获批为我省首批离境退税商店。成功获评流通领域现代供应链体</w:t>
      </w:r>
      <w:proofErr w:type="gramStart"/>
      <w:r>
        <w:rPr>
          <w:rFonts w:ascii="仿宋_GB2312" w:hAnsi="仿宋_GB2312" w:hint="eastAsia"/>
        </w:rPr>
        <w:t>系建设</w:t>
      </w:r>
      <w:proofErr w:type="gramEnd"/>
      <w:r>
        <w:rPr>
          <w:rFonts w:ascii="仿宋_GB2312" w:hAnsi="仿宋_GB2312" w:hint="eastAsia"/>
        </w:rPr>
        <w:t>和国家级供应</w:t>
      </w:r>
      <w:proofErr w:type="gramStart"/>
      <w:r>
        <w:rPr>
          <w:rFonts w:ascii="仿宋_GB2312" w:hAnsi="仿宋_GB2312" w:hint="eastAsia"/>
        </w:rPr>
        <w:t>链创新</w:t>
      </w:r>
      <w:proofErr w:type="gramEnd"/>
      <w:r>
        <w:rPr>
          <w:rFonts w:ascii="仿宋_GB2312" w:hAnsi="仿宋_GB2312" w:hint="eastAsia"/>
        </w:rPr>
        <w:t>与应用“双试点”城市。</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lastRenderedPageBreak/>
        <w:t>3.</w:t>
      </w:r>
      <w:r>
        <w:rPr>
          <w:rFonts w:ascii="仿宋_GB2312" w:hAnsi="仿宋_GB2312" w:hint="eastAsia"/>
        </w:rPr>
        <w:t>新兴消费模式发</w:t>
      </w:r>
      <w:r>
        <w:rPr>
          <w:rFonts w:ascii="仿宋_GB2312" w:hAnsi="仿宋_GB2312" w:hint="eastAsia"/>
        </w:rPr>
        <w:t>展迅猛。</w:t>
      </w:r>
      <w:r>
        <w:rPr>
          <w:rFonts w:ascii="仿宋_GB2312" w:hAnsi="仿宋_GB2312" w:hint="eastAsia"/>
        </w:rPr>
        <w:t>2020</w:t>
      </w:r>
      <w:r>
        <w:rPr>
          <w:rFonts w:ascii="仿宋_GB2312" w:hAnsi="仿宋_GB2312" w:hint="eastAsia"/>
        </w:rPr>
        <w:t>年</w:t>
      </w:r>
      <w:r>
        <w:rPr>
          <w:rFonts w:ascii="仿宋_GB2312" w:hAnsi="仿宋_GB2312" w:hint="eastAsia"/>
        </w:rPr>
        <w:t>，</w:t>
      </w:r>
      <w:r>
        <w:rPr>
          <w:rFonts w:ascii="仿宋_GB2312" w:hAnsi="仿宋_GB2312" w:hint="eastAsia"/>
        </w:rPr>
        <w:t>全市网络零售额为</w:t>
      </w:r>
      <w:r>
        <w:rPr>
          <w:rFonts w:ascii="仿宋_GB2312" w:hAnsi="仿宋_GB2312" w:hint="eastAsia"/>
        </w:rPr>
        <w:t>8992.2</w:t>
      </w:r>
      <w:r>
        <w:rPr>
          <w:rFonts w:ascii="仿宋_GB2312" w:hAnsi="仿宋_GB2312" w:hint="eastAsia"/>
        </w:rPr>
        <w:t>亿元，是“十二五”末的</w:t>
      </w:r>
      <w:r>
        <w:rPr>
          <w:rFonts w:ascii="仿宋_GB2312" w:hAnsi="仿宋_GB2312" w:hint="eastAsia"/>
        </w:rPr>
        <w:t>3.4</w:t>
      </w:r>
      <w:r>
        <w:rPr>
          <w:rFonts w:ascii="仿宋_GB2312" w:hAnsi="仿宋_GB2312" w:hint="eastAsia"/>
        </w:rPr>
        <w:t>倍。出台全国首个新零售发展五年行动计划，</w:t>
      </w:r>
      <w:r>
        <w:rPr>
          <w:rFonts w:ascii="仿宋_GB2312" w:hAnsi="仿宋_GB2312" w:hint="eastAsia"/>
        </w:rPr>
        <w:t>生活品牌</w:t>
      </w:r>
      <w:proofErr w:type="gramStart"/>
      <w:r>
        <w:rPr>
          <w:rFonts w:ascii="仿宋_GB2312" w:hAnsi="仿宋_GB2312" w:hint="eastAsia"/>
        </w:rPr>
        <w:t>塑造商</w:t>
      </w:r>
      <w:proofErr w:type="gramEnd"/>
      <w:r>
        <w:rPr>
          <w:rFonts w:ascii="仿宋_GB2312" w:hAnsi="仿宋_GB2312" w:hint="eastAsia"/>
        </w:rPr>
        <w:t>等新模式迅速兴起。积极推进电商扶贫工作，网</w:t>
      </w:r>
      <w:proofErr w:type="gramStart"/>
      <w:r>
        <w:rPr>
          <w:rFonts w:ascii="仿宋_GB2312" w:hAnsi="仿宋_GB2312" w:hint="eastAsia"/>
        </w:rPr>
        <w:t>易严选</w:t>
      </w:r>
      <w:proofErr w:type="gramEnd"/>
      <w:r>
        <w:rPr>
          <w:rFonts w:ascii="仿宋_GB2312" w:hAnsi="仿宋_GB2312" w:hint="eastAsia"/>
        </w:rPr>
        <w:t>雷山体验馆（西江千户苗寨）入选国务院扶贫办成功案例。</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美好生活需求不断满足。</w:t>
      </w:r>
      <w:r>
        <w:rPr>
          <w:rFonts w:ascii="仿宋_GB2312" w:hAnsi="仿宋_GB2312" w:hint="eastAsia"/>
        </w:rPr>
        <w:t>2020</w:t>
      </w:r>
      <w:r>
        <w:rPr>
          <w:rFonts w:ascii="仿宋_GB2312" w:hAnsi="仿宋_GB2312" w:hint="eastAsia"/>
        </w:rPr>
        <w:t>年</w:t>
      </w:r>
      <w:r>
        <w:rPr>
          <w:rFonts w:ascii="仿宋_GB2312" w:hAnsi="仿宋_GB2312" w:hint="eastAsia"/>
        </w:rPr>
        <w:t>，</w:t>
      </w:r>
      <w:r>
        <w:rPr>
          <w:rFonts w:ascii="仿宋_GB2312" w:hAnsi="仿宋_GB2312" w:hint="eastAsia"/>
        </w:rPr>
        <w:t>餐饮收入</w:t>
      </w:r>
      <w:r>
        <w:rPr>
          <w:rFonts w:ascii="仿宋_GB2312" w:hAnsi="仿宋_GB2312" w:hint="eastAsia"/>
        </w:rPr>
        <w:t>995</w:t>
      </w:r>
      <w:r>
        <w:rPr>
          <w:rFonts w:ascii="仿宋_GB2312" w:hAnsi="仿宋_GB2312" w:hint="eastAsia"/>
        </w:rPr>
        <w:t>亿元，较“十二五”末增长</w:t>
      </w:r>
      <w:r>
        <w:rPr>
          <w:rFonts w:ascii="仿宋_GB2312" w:hAnsi="仿宋_GB2312" w:hint="eastAsia"/>
        </w:rPr>
        <w:t>31.0%</w:t>
      </w:r>
      <w:r>
        <w:rPr>
          <w:rFonts w:ascii="仿宋_GB2312" w:hAnsi="仿宋_GB2312" w:hint="eastAsia"/>
        </w:rPr>
        <w:t>。餐饮国际化水平进一步提升，出色完成</w:t>
      </w:r>
      <w:r>
        <w:rPr>
          <w:rFonts w:ascii="仿宋_GB2312" w:hAnsi="仿宋_GB2312" w:hint="eastAsia"/>
        </w:rPr>
        <w:t>G20</w:t>
      </w:r>
      <w:r>
        <w:rPr>
          <w:rFonts w:ascii="仿宋_GB2312" w:hAnsi="仿宋_GB2312" w:hint="eastAsia"/>
        </w:rPr>
        <w:t>杭州峰会餐饮服务保障任务，被国际饭店和餐馆协会（</w:t>
      </w:r>
      <w:r>
        <w:rPr>
          <w:rFonts w:ascii="仿宋_GB2312" w:hAnsi="仿宋_GB2312" w:hint="eastAsia"/>
        </w:rPr>
        <w:t>IHRA</w:t>
      </w:r>
      <w:r>
        <w:rPr>
          <w:rFonts w:ascii="仿宋_GB2312" w:hAnsi="仿宋_GB2312" w:hint="eastAsia"/>
        </w:rPr>
        <w:t>）授予全球首个“世界美食名城”称号。家政服务提质扩容，开发建设“安心找家政”便民服务场景，推广“</w:t>
      </w:r>
      <w:r>
        <w:rPr>
          <w:rFonts w:ascii="仿宋_GB2312" w:hAnsi="仿宋_GB2312" w:hint="eastAsia"/>
        </w:rPr>
        <w:t>家政安心码”。再生资源回收体系进一步健全，“互联网</w:t>
      </w:r>
      <w:r>
        <w:rPr>
          <w:rFonts w:ascii="仿宋_GB2312" w:hAnsi="仿宋_GB2312" w:hint="eastAsia"/>
        </w:rPr>
        <w:t>+</w:t>
      </w:r>
      <w:r>
        <w:rPr>
          <w:rFonts w:ascii="仿宋_GB2312" w:hAnsi="仿宋_GB2312" w:hint="eastAsia"/>
        </w:rPr>
        <w:t>再生资源回收”模式覆盖率近</w:t>
      </w:r>
      <w:r>
        <w:rPr>
          <w:rFonts w:ascii="仿宋_GB2312" w:hAnsi="仿宋_GB2312" w:hint="eastAsia"/>
        </w:rPr>
        <w:t>90%</w:t>
      </w:r>
      <w:r>
        <w:rPr>
          <w:rFonts w:ascii="仿宋_GB2312" w:hAnsi="仿宋_GB2312" w:hint="eastAsia"/>
        </w:rPr>
        <w:t>，生活垃圾回收利用率达</w:t>
      </w:r>
      <w:r>
        <w:rPr>
          <w:rFonts w:ascii="仿宋_GB2312" w:hAnsi="仿宋_GB2312" w:hint="eastAsia"/>
        </w:rPr>
        <w:t>51%</w:t>
      </w:r>
      <w:r>
        <w:rPr>
          <w:rFonts w:ascii="仿宋_GB2312" w:hAnsi="仿宋_GB2312" w:hint="eastAsia"/>
        </w:rPr>
        <w:t>。</w:t>
      </w:r>
    </w:p>
    <w:p w:rsidR="00CD2EF2" w:rsidRDefault="003F5178" w:rsidP="00BA1400">
      <w:pPr>
        <w:snapToGrid w:val="0"/>
        <w:spacing w:line="336" w:lineRule="auto"/>
        <w:ind w:firstLineChars="200" w:firstLine="628"/>
        <w:rPr>
          <w:rFonts w:eastAsia="楷体_GB2312"/>
        </w:rPr>
      </w:pPr>
      <w:bookmarkStart w:id="34" w:name="_Toc30163"/>
      <w:bookmarkStart w:id="35" w:name="_Toc23724"/>
      <w:bookmarkStart w:id="36" w:name="_Toc27583"/>
      <w:bookmarkStart w:id="37" w:name="_Toc19935"/>
      <w:bookmarkStart w:id="38" w:name="_Toc17068"/>
      <w:bookmarkStart w:id="39" w:name="_Toc28407"/>
      <w:bookmarkStart w:id="40" w:name="_Toc27614"/>
      <w:bookmarkStart w:id="41" w:name="_Toc4894"/>
      <w:bookmarkStart w:id="42" w:name="_Toc1799"/>
      <w:bookmarkStart w:id="43" w:name="_Toc6817"/>
      <w:bookmarkStart w:id="44" w:name="_Toc9288"/>
      <w:r>
        <w:rPr>
          <w:rFonts w:eastAsia="楷体_GB2312" w:hint="eastAsia"/>
        </w:rPr>
        <w:t>（二）开放发展实现新突破</w:t>
      </w:r>
      <w:bookmarkEnd w:id="34"/>
      <w:bookmarkEnd w:id="35"/>
      <w:bookmarkEnd w:id="36"/>
      <w:bookmarkEnd w:id="37"/>
      <w:bookmarkEnd w:id="38"/>
      <w:bookmarkEnd w:id="39"/>
      <w:bookmarkEnd w:id="40"/>
      <w:bookmarkEnd w:id="41"/>
      <w:bookmarkEnd w:id="42"/>
      <w:bookmarkEnd w:id="43"/>
      <w:bookmarkEnd w:id="44"/>
      <w:r>
        <w:rPr>
          <w:rFonts w:eastAsia="楷体_GB2312" w:hint="eastAsia"/>
        </w:rPr>
        <w:t>。</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外贸质量效益进一步提升。</w:t>
      </w:r>
      <w:r>
        <w:rPr>
          <w:rFonts w:ascii="仿宋_GB2312" w:hAnsi="仿宋_GB2312" w:hint="eastAsia"/>
        </w:rPr>
        <w:t>2020</w:t>
      </w:r>
      <w:r>
        <w:rPr>
          <w:rFonts w:ascii="仿宋_GB2312" w:hAnsi="仿宋_GB2312" w:hint="eastAsia"/>
        </w:rPr>
        <w:t>年，全市外贸进出口额</w:t>
      </w:r>
      <w:r>
        <w:rPr>
          <w:rFonts w:ascii="仿宋_GB2312" w:hAnsi="仿宋_GB2312" w:hint="eastAsia"/>
        </w:rPr>
        <w:t>5485.6</w:t>
      </w:r>
      <w:r>
        <w:rPr>
          <w:rFonts w:ascii="仿宋_GB2312" w:hAnsi="仿宋_GB2312" w:hint="eastAsia"/>
        </w:rPr>
        <w:t>亿元（不含省级公司，下同），其中出口</w:t>
      </w:r>
      <w:r>
        <w:rPr>
          <w:rFonts w:ascii="仿宋_GB2312" w:hAnsi="仿宋_GB2312" w:hint="eastAsia"/>
        </w:rPr>
        <w:t>3487.9</w:t>
      </w:r>
      <w:r>
        <w:rPr>
          <w:rFonts w:ascii="仿宋_GB2312" w:hAnsi="仿宋_GB2312" w:hint="eastAsia"/>
        </w:rPr>
        <w:t>亿元、进口</w:t>
      </w:r>
      <w:r>
        <w:rPr>
          <w:rFonts w:ascii="仿宋_GB2312" w:hAnsi="仿宋_GB2312" w:hint="eastAsia"/>
        </w:rPr>
        <w:t>1997.7</w:t>
      </w:r>
      <w:r>
        <w:rPr>
          <w:rFonts w:ascii="仿宋_GB2312" w:hAnsi="仿宋_GB2312" w:hint="eastAsia"/>
        </w:rPr>
        <w:t>亿元，较“十二五”末年</w:t>
      </w:r>
      <w:r>
        <w:rPr>
          <w:rFonts w:ascii="仿宋_GB2312" w:hAnsi="仿宋_GB2312" w:hint="eastAsia"/>
        </w:rPr>
        <w:t>均</w:t>
      </w:r>
      <w:r>
        <w:rPr>
          <w:rFonts w:ascii="仿宋_GB2312" w:hAnsi="仿宋_GB2312" w:hint="eastAsia"/>
        </w:rPr>
        <w:t>分别增长</w:t>
      </w:r>
      <w:r>
        <w:rPr>
          <w:rFonts w:ascii="仿宋_GB2312" w:hAnsi="仿宋_GB2312" w:hint="eastAsia"/>
        </w:rPr>
        <w:t>5.8%</w:t>
      </w:r>
      <w:r>
        <w:rPr>
          <w:rFonts w:ascii="仿宋_GB2312" w:hAnsi="仿宋_GB2312" w:hint="eastAsia"/>
        </w:rPr>
        <w:t>、</w:t>
      </w:r>
      <w:r>
        <w:rPr>
          <w:rFonts w:ascii="仿宋_GB2312" w:hAnsi="仿宋_GB2312" w:hint="eastAsia"/>
        </w:rPr>
        <w:t>2.3%</w:t>
      </w:r>
      <w:r>
        <w:rPr>
          <w:rFonts w:ascii="仿宋_GB2312" w:hAnsi="仿宋_GB2312" w:hint="eastAsia"/>
        </w:rPr>
        <w:t>和</w:t>
      </w:r>
      <w:r>
        <w:rPr>
          <w:rFonts w:ascii="仿宋_GB2312" w:hAnsi="仿宋_GB2312" w:hint="eastAsia"/>
        </w:rPr>
        <w:t>14.3%</w:t>
      </w:r>
      <w:r>
        <w:rPr>
          <w:rFonts w:ascii="仿宋_GB2312" w:hAnsi="仿宋_GB2312" w:hint="eastAsia"/>
        </w:rPr>
        <w:t>。其中，机电、高科技产品出口比重分别提高至</w:t>
      </w:r>
      <w:r>
        <w:rPr>
          <w:rFonts w:ascii="仿宋_GB2312" w:hAnsi="仿宋_GB2312" w:hint="eastAsia"/>
        </w:rPr>
        <w:t>47.0%</w:t>
      </w:r>
      <w:r>
        <w:rPr>
          <w:rFonts w:ascii="仿宋_GB2312" w:hAnsi="仿宋_GB2312" w:hint="eastAsia"/>
        </w:rPr>
        <w:t>、</w:t>
      </w:r>
      <w:r>
        <w:rPr>
          <w:rFonts w:ascii="仿宋_GB2312" w:hAnsi="仿宋_GB2312" w:hint="eastAsia"/>
        </w:rPr>
        <w:t>18.2%</w:t>
      </w:r>
      <w:r>
        <w:rPr>
          <w:rFonts w:ascii="仿宋_GB2312" w:hAnsi="仿宋_GB2312" w:hint="eastAsia"/>
        </w:rPr>
        <w:t>，自主品牌产品出口比重达到</w:t>
      </w:r>
      <w:r>
        <w:rPr>
          <w:rFonts w:ascii="仿宋_GB2312" w:hAnsi="仿宋_GB2312" w:hint="eastAsia"/>
        </w:rPr>
        <w:t>27.6%</w:t>
      </w:r>
      <w:r>
        <w:rPr>
          <w:rFonts w:ascii="仿宋_GB2312" w:hAnsi="仿宋_GB2312" w:hint="eastAsia"/>
        </w:rPr>
        <w:t>。“海外杭州”发展成效明显，布局迪拜、波兰、埃及、南非等</w:t>
      </w:r>
      <w:r>
        <w:rPr>
          <w:rFonts w:ascii="仿宋_GB2312" w:hAnsi="仿宋_GB2312" w:hint="eastAsia"/>
        </w:rPr>
        <w:t>9</w:t>
      </w:r>
      <w:r>
        <w:rPr>
          <w:rFonts w:ascii="仿宋_GB2312" w:hAnsi="仿宋_GB2312" w:hint="eastAsia"/>
        </w:rPr>
        <w:t>个“一带一</w:t>
      </w:r>
      <w:r>
        <w:rPr>
          <w:rFonts w:ascii="仿宋_GB2312" w:hAnsi="仿宋_GB2312" w:hint="eastAsia"/>
        </w:rPr>
        <w:t>路”国家海外贸易展。</w:t>
      </w:r>
      <w:r>
        <w:rPr>
          <w:rFonts w:ascii="仿宋_GB2312" w:hAnsi="仿宋_GB2312" w:hint="eastAsia"/>
        </w:rPr>
        <w:t>2020</w:t>
      </w:r>
      <w:r>
        <w:rPr>
          <w:rFonts w:ascii="仿宋_GB2312" w:hAnsi="仿宋_GB2312" w:hint="eastAsia"/>
        </w:rPr>
        <w:t>年，对“一带一路”沿线国家进出口额</w:t>
      </w:r>
      <w:r>
        <w:rPr>
          <w:rFonts w:ascii="仿宋_GB2312" w:hAnsi="仿宋_GB2312" w:hint="eastAsia"/>
        </w:rPr>
        <w:t>1809.6</w:t>
      </w:r>
      <w:r>
        <w:rPr>
          <w:rFonts w:ascii="仿宋_GB2312" w:hAnsi="仿宋_GB2312" w:hint="eastAsia"/>
        </w:rPr>
        <w:t>亿元，年均增长</w:t>
      </w:r>
      <w:r>
        <w:rPr>
          <w:rFonts w:ascii="仿宋_GB2312" w:hAnsi="仿宋_GB2312" w:hint="eastAsia"/>
        </w:rPr>
        <w:t>11.5%</w:t>
      </w:r>
      <w:r>
        <w:rPr>
          <w:rFonts w:ascii="仿宋_GB2312" w:hAnsi="仿宋_GB2312" w:hint="eastAsia"/>
        </w:rPr>
        <w:t>。获得“中国最具竞争力会展城市”殊荣，举办国际会议数量居全国前三。全国首创外贸融资服务平台“杭信贷”，并</w:t>
      </w:r>
      <w:r>
        <w:rPr>
          <w:rFonts w:ascii="仿宋_GB2312" w:hAnsi="仿宋_GB2312" w:hint="eastAsia"/>
        </w:rPr>
        <w:lastRenderedPageBreak/>
        <w:t>入选国务院“最佳实践案例”。</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自贸区建设成效初显。</w:t>
      </w:r>
      <w:r>
        <w:rPr>
          <w:rFonts w:ascii="仿宋_GB2312" w:hAnsi="仿宋_GB2312" w:hint="eastAsia"/>
        </w:rPr>
        <w:t>2019</w:t>
      </w:r>
      <w:r>
        <w:rPr>
          <w:rFonts w:ascii="仿宋_GB2312" w:hAnsi="仿宋_GB2312" w:hint="eastAsia"/>
        </w:rPr>
        <w:t>年</w:t>
      </w:r>
      <w:r>
        <w:rPr>
          <w:rFonts w:ascii="仿宋_GB2312" w:hAnsi="仿宋_GB2312" w:hint="eastAsia"/>
        </w:rPr>
        <w:t>，</w:t>
      </w:r>
      <w:r>
        <w:rPr>
          <w:rFonts w:ascii="仿宋_GB2312" w:hAnsi="仿宋_GB2312" w:hint="eastAsia"/>
        </w:rPr>
        <w:t>杭州成功获批中国（浙江）自由贸易试验区联动创新区</w:t>
      </w:r>
      <w:r>
        <w:rPr>
          <w:rFonts w:ascii="仿宋_GB2312" w:hAnsi="仿宋_GB2312" w:hint="eastAsia"/>
        </w:rPr>
        <w:t>。</w:t>
      </w:r>
      <w:r>
        <w:rPr>
          <w:rFonts w:ascii="仿宋_GB2312" w:hAnsi="仿宋_GB2312" w:hint="eastAsia"/>
        </w:rPr>
        <w:t>2020</w:t>
      </w:r>
      <w:r>
        <w:rPr>
          <w:rFonts w:ascii="仿宋_GB2312" w:hAnsi="仿宋_GB2312" w:hint="eastAsia"/>
        </w:rPr>
        <w:t>年</w:t>
      </w:r>
      <w:r>
        <w:rPr>
          <w:rFonts w:ascii="仿宋_GB2312" w:hAnsi="仿宋_GB2312" w:hint="eastAsia"/>
        </w:rPr>
        <w:t>，</w:t>
      </w:r>
      <w:r>
        <w:rPr>
          <w:rFonts w:ascii="仿宋_GB2312" w:hAnsi="仿宋_GB2312" w:hint="eastAsia"/>
        </w:rPr>
        <w:t>中国（浙江）自由贸易试验区杭州片区（以下简称自贸试验区杭州片区）正式挂牌</w:t>
      </w:r>
      <w:r>
        <w:rPr>
          <w:rFonts w:ascii="仿宋_GB2312" w:hAnsi="仿宋_GB2312" w:hint="eastAsia"/>
        </w:rPr>
        <w:t>。</w:t>
      </w:r>
      <w:r>
        <w:rPr>
          <w:rFonts w:ascii="仿宋_GB2312" w:hAnsi="仿宋_GB2312" w:hint="eastAsia"/>
        </w:rPr>
        <w:t>萧山国际机场改扩建（国际货站及机坪）工程项目、全球产业科技发现与</w:t>
      </w:r>
      <w:proofErr w:type="gramStart"/>
      <w:r>
        <w:rPr>
          <w:rFonts w:ascii="仿宋_GB2312" w:hAnsi="仿宋_GB2312" w:hint="eastAsia"/>
        </w:rPr>
        <w:t>科创服务</w:t>
      </w:r>
      <w:proofErr w:type="gramEnd"/>
      <w:r>
        <w:rPr>
          <w:rFonts w:ascii="仿宋_GB2312" w:hAnsi="仿宋_GB2312" w:hint="eastAsia"/>
        </w:rPr>
        <w:t>平台落地、杭州大会展中心项目一期工程等入选浙江自贸试验区扩区后新一批十大成果。</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服务贸易创新成果丰硕。</w:t>
      </w:r>
      <w:r>
        <w:rPr>
          <w:rFonts w:ascii="仿宋_GB2312" w:hAnsi="仿宋_GB2312" w:hint="eastAsia"/>
        </w:rPr>
        <w:t>2020</w:t>
      </w:r>
      <w:r>
        <w:rPr>
          <w:rFonts w:ascii="仿宋_GB2312" w:hAnsi="仿宋_GB2312" w:hint="eastAsia"/>
        </w:rPr>
        <w:t>年，全市服务贸易出口额达到</w:t>
      </w:r>
      <w:r>
        <w:rPr>
          <w:rFonts w:ascii="仿宋_GB2312" w:hAnsi="仿宋_GB2312" w:hint="eastAsia"/>
        </w:rPr>
        <w:t>138.4</w:t>
      </w:r>
      <w:r>
        <w:rPr>
          <w:rFonts w:ascii="仿宋_GB2312" w:hAnsi="仿宋_GB2312" w:hint="eastAsia"/>
        </w:rPr>
        <w:t>亿美元，服务外包出口规模连续两年位列全国第二。两轮服务贸易创新发展试点任务圆满完成，“最佳实践案例”数量居全国第一。杭州高新技术产业开发区（滨江）物联网产业园和中国（浙江）影视产业国际合作区分别入选首批国家数字服务出口基地和国家文化出口基地。</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4.</w:t>
      </w:r>
      <w:r>
        <w:rPr>
          <w:rFonts w:ascii="仿宋_GB2312" w:eastAsia="仿宋_GB2312" w:hAnsi="仿宋_GB2312" w:hint="eastAsia"/>
          <w:spacing w:val="-6"/>
          <w:kern w:val="2"/>
        </w:rPr>
        <w:t>跨境电商发展迅猛。</w:t>
      </w:r>
      <w:r>
        <w:rPr>
          <w:rFonts w:ascii="仿宋_GB2312" w:eastAsia="仿宋_GB2312" w:hAnsi="仿宋_GB2312" w:hint="eastAsia"/>
          <w:spacing w:val="-6"/>
          <w:kern w:val="2"/>
        </w:rPr>
        <w:t>2020</w:t>
      </w:r>
      <w:r>
        <w:rPr>
          <w:rFonts w:ascii="仿宋_GB2312" w:eastAsia="仿宋_GB2312" w:hAnsi="仿宋_GB2312" w:hint="eastAsia"/>
          <w:spacing w:val="-6"/>
          <w:kern w:val="2"/>
        </w:rPr>
        <w:t>年，全市跨境电商</w:t>
      </w:r>
      <w:r>
        <w:rPr>
          <w:rFonts w:ascii="仿宋_GB2312" w:eastAsia="仿宋_GB2312" w:hAnsi="仿宋_GB2312" w:hint="eastAsia"/>
          <w:spacing w:val="-6"/>
          <w:kern w:val="2"/>
        </w:rPr>
        <w:t>进出口总额</w:t>
      </w:r>
      <w:r>
        <w:rPr>
          <w:rFonts w:ascii="仿宋_GB2312" w:eastAsia="仿宋_GB2312" w:hAnsi="仿宋_GB2312" w:hint="eastAsia"/>
          <w:spacing w:val="-6"/>
          <w:kern w:val="2"/>
        </w:rPr>
        <w:t>156.7</w:t>
      </w:r>
      <w:r>
        <w:rPr>
          <w:rFonts w:ascii="仿宋_GB2312" w:eastAsia="仿宋_GB2312" w:hAnsi="仿宋_GB2312" w:hint="eastAsia"/>
          <w:spacing w:val="-6"/>
          <w:kern w:val="2"/>
        </w:rPr>
        <w:t>亿美元，是“十二五”末的</w:t>
      </w:r>
      <w:r>
        <w:rPr>
          <w:rFonts w:ascii="仿宋_GB2312" w:eastAsia="仿宋_GB2312" w:hAnsi="仿宋_GB2312" w:hint="eastAsia"/>
          <w:spacing w:val="-6"/>
          <w:kern w:val="2"/>
        </w:rPr>
        <w:t>4.5</w:t>
      </w:r>
      <w:r>
        <w:rPr>
          <w:rFonts w:ascii="仿宋_GB2312" w:eastAsia="仿宋_GB2312" w:hAnsi="仿宋_GB2312" w:hint="eastAsia"/>
          <w:spacing w:val="-6"/>
          <w:kern w:val="2"/>
        </w:rPr>
        <w:t>倍。其中，出口</w:t>
      </w:r>
      <w:r>
        <w:rPr>
          <w:rFonts w:ascii="仿宋_GB2312" w:eastAsia="仿宋_GB2312" w:hAnsi="仿宋_GB2312" w:hint="eastAsia"/>
          <w:spacing w:val="-6"/>
          <w:kern w:val="2"/>
        </w:rPr>
        <w:t>109.4</w:t>
      </w:r>
      <w:r>
        <w:rPr>
          <w:rFonts w:ascii="仿宋_GB2312" w:eastAsia="仿宋_GB2312" w:hAnsi="仿宋_GB2312" w:hint="eastAsia"/>
          <w:spacing w:val="-6"/>
          <w:kern w:val="2"/>
        </w:rPr>
        <w:t>亿美元，年均增长</w:t>
      </w:r>
      <w:r>
        <w:rPr>
          <w:rFonts w:ascii="仿宋_GB2312" w:eastAsia="仿宋_GB2312" w:hAnsi="仿宋_GB2312" w:hint="eastAsia"/>
          <w:spacing w:val="-6"/>
          <w:kern w:val="2"/>
        </w:rPr>
        <w:t>15.9%</w:t>
      </w:r>
      <w:r>
        <w:rPr>
          <w:rFonts w:ascii="仿宋_GB2312" w:eastAsia="仿宋_GB2312" w:hAnsi="仿宋_GB2312" w:hint="eastAsia"/>
          <w:spacing w:val="-6"/>
          <w:kern w:val="2"/>
        </w:rPr>
        <w:t>；进口</w:t>
      </w:r>
      <w:r>
        <w:rPr>
          <w:rFonts w:ascii="仿宋_GB2312" w:eastAsia="仿宋_GB2312" w:hAnsi="仿宋_GB2312" w:hint="eastAsia"/>
          <w:spacing w:val="-6"/>
          <w:kern w:val="2"/>
        </w:rPr>
        <w:t>47.3</w:t>
      </w:r>
      <w:r>
        <w:rPr>
          <w:rFonts w:ascii="仿宋_GB2312" w:eastAsia="仿宋_GB2312" w:hAnsi="仿宋_GB2312" w:hint="eastAsia"/>
          <w:spacing w:val="-6"/>
          <w:kern w:val="2"/>
        </w:rPr>
        <w:t>亿美元，年均增长</w:t>
      </w:r>
      <w:r>
        <w:rPr>
          <w:rFonts w:ascii="仿宋_GB2312" w:eastAsia="仿宋_GB2312" w:hAnsi="仿宋_GB2312" w:hint="eastAsia"/>
          <w:spacing w:val="-6"/>
          <w:kern w:val="2"/>
        </w:rPr>
        <w:t>23.3%</w:t>
      </w:r>
      <w:r>
        <w:rPr>
          <w:rFonts w:ascii="仿宋_GB2312" w:eastAsia="仿宋_GB2312" w:hAnsi="仿宋_GB2312" w:hint="eastAsia"/>
          <w:spacing w:val="-6"/>
          <w:kern w:val="2"/>
        </w:rPr>
        <w:t>。搭建全球首个电子世界贸易平台（</w:t>
      </w:r>
      <w:proofErr w:type="spellStart"/>
      <w:r>
        <w:rPr>
          <w:rFonts w:ascii="仿宋_GB2312" w:eastAsia="仿宋_GB2312" w:hAnsi="仿宋_GB2312" w:hint="eastAsia"/>
          <w:spacing w:val="-6"/>
          <w:kern w:val="2"/>
        </w:rPr>
        <w:t>eWTP</w:t>
      </w:r>
      <w:proofErr w:type="spellEnd"/>
      <w:r>
        <w:rPr>
          <w:rFonts w:ascii="仿宋_GB2312" w:eastAsia="仿宋_GB2312" w:hAnsi="仿宋_GB2312" w:hint="eastAsia"/>
          <w:spacing w:val="-6"/>
          <w:kern w:val="2"/>
        </w:rPr>
        <w:t>）公共服务平台，</w:t>
      </w:r>
      <w:proofErr w:type="spellStart"/>
      <w:r>
        <w:rPr>
          <w:rFonts w:ascii="仿宋_GB2312" w:eastAsia="仿宋_GB2312" w:hAnsi="仿宋_GB2312" w:hint="eastAsia"/>
          <w:spacing w:val="-6"/>
          <w:kern w:val="2"/>
        </w:rPr>
        <w:t>eWTP</w:t>
      </w:r>
      <w:proofErr w:type="spellEnd"/>
      <w:r>
        <w:rPr>
          <w:rFonts w:ascii="仿宋_GB2312" w:eastAsia="仿宋_GB2312" w:hAnsi="仿宋_GB2312" w:hint="eastAsia"/>
          <w:spacing w:val="-6"/>
          <w:kern w:val="2"/>
        </w:rPr>
        <w:t>商业试点逐步向比利时、卢旺达、埃塞俄比亚等国家拓展。以“六体系两平台”为核心的跨境电商“杭州经验”向全国其他</w:t>
      </w:r>
      <w:r>
        <w:rPr>
          <w:rFonts w:ascii="仿宋_GB2312" w:eastAsia="仿宋_GB2312" w:hAnsi="仿宋_GB2312" w:hint="eastAsia"/>
          <w:spacing w:val="-6"/>
          <w:kern w:val="2"/>
        </w:rPr>
        <w:t>104</w:t>
      </w:r>
      <w:r>
        <w:rPr>
          <w:rFonts w:ascii="仿宋_GB2312" w:eastAsia="仿宋_GB2312" w:hAnsi="仿宋_GB2312" w:hint="eastAsia"/>
          <w:spacing w:val="-6"/>
          <w:kern w:val="2"/>
        </w:rPr>
        <w:t>个跨境电子商务综合试验区复制推广，带动全国跨境电商蓬勃发展。</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5.</w:t>
      </w:r>
      <w:r>
        <w:rPr>
          <w:rFonts w:ascii="仿宋_GB2312" w:eastAsia="仿宋_GB2312" w:hAnsi="仿宋_GB2312" w:hint="eastAsia"/>
          <w:spacing w:val="-6"/>
          <w:kern w:val="2"/>
        </w:rPr>
        <w:t>境外投资步伐加快。</w:t>
      </w:r>
      <w:r>
        <w:rPr>
          <w:rFonts w:ascii="仿宋_GB2312" w:eastAsia="仿宋_GB2312" w:hAnsi="仿宋_GB2312" w:hint="eastAsia"/>
          <w:spacing w:val="-6"/>
          <w:kern w:val="2"/>
        </w:rPr>
        <w:t>“十三五”时期，全市境外投资项目累计</w:t>
      </w:r>
      <w:r>
        <w:rPr>
          <w:rFonts w:ascii="仿宋_GB2312" w:eastAsia="仿宋_GB2312" w:hAnsi="仿宋_GB2312" w:hint="eastAsia"/>
          <w:spacing w:val="-6"/>
          <w:kern w:val="2"/>
        </w:rPr>
        <w:t>1123</w:t>
      </w:r>
      <w:r>
        <w:rPr>
          <w:rFonts w:ascii="仿宋_GB2312" w:eastAsia="仿宋_GB2312" w:hAnsi="仿宋_GB2312" w:hint="eastAsia"/>
          <w:spacing w:val="-6"/>
          <w:kern w:val="2"/>
        </w:rPr>
        <w:t>个，中方投资额累计</w:t>
      </w:r>
      <w:r>
        <w:rPr>
          <w:rFonts w:ascii="仿宋_GB2312" w:eastAsia="仿宋_GB2312" w:hAnsi="仿宋_GB2312" w:hint="eastAsia"/>
          <w:spacing w:val="-6"/>
          <w:kern w:val="2"/>
        </w:rPr>
        <w:t>214.9</w:t>
      </w:r>
      <w:r>
        <w:rPr>
          <w:rFonts w:ascii="仿宋_GB2312" w:eastAsia="仿宋_GB2312" w:hAnsi="仿宋_GB2312" w:hint="eastAsia"/>
          <w:spacing w:val="-6"/>
          <w:kern w:val="2"/>
        </w:rPr>
        <w:t>亿美元，国际经济合作营业额</w:t>
      </w:r>
      <w:r>
        <w:rPr>
          <w:rFonts w:ascii="仿宋_GB2312" w:eastAsia="仿宋_GB2312" w:hAnsi="仿宋_GB2312" w:hint="eastAsia"/>
          <w:spacing w:val="-6"/>
          <w:kern w:val="2"/>
        </w:rPr>
        <w:lastRenderedPageBreak/>
        <w:t>累计</w:t>
      </w:r>
      <w:r>
        <w:rPr>
          <w:rFonts w:ascii="仿宋_GB2312" w:eastAsia="仿宋_GB2312" w:hAnsi="仿宋_GB2312" w:hint="eastAsia"/>
          <w:spacing w:val="-6"/>
          <w:kern w:val="2"/>
        </w:rPr>
        <w:t>115.</w:t>
      </w:r>
      <w:r>
        <w:rPr>
          <w:rFonts w:ascii="仿宋_GB2312" w:eastAsia="仿宋_GB2312" w:hAnsi="仿宋_GB2312" w:hint="eastAsia"/>
          <w:spacing w:val="-6"/>
          <w:kern w:val="2"/>
        </w:rPr>
        <w:t>4</w:t>
      </w:r>
      <w:r>
        <w:rPr>
          <w:rFonts w:ascii="仿宋_GB2312" w:eastAsia="仿宋_GB2312" w:hAnsi="仿宋_GB2312" w:hint="eastAsia"/>
          <w:spacing w:val="-6"/>
          <w:kern w:val="2"/>
        </w:rPr>
        <w:t>亿美元，均居全省第一。对外经贸合作平台稳步推进，省级以上境外经贸合作园区</w:t>
      </w:r>
      <w:r>
        <w:rPr>
          <w:rFonts w:ascii="仿宋_GB2312" w:eastAsia="仿宋_GB2312" w:hAnsi="仿宋_GB2312" w:hint="eastAsia"/>
          <w:spacing w:val="-6"/>
          <w:kern w:val="2"/>
        </w:rPr>
        <w:t>5</w:t>
      </w:r>
      <w:r>
        <w:rPr>
          <w:rFonts w:ascii="仿宋_GB2312" w:eastAsia="仿宋_GB2312" w:hAnsi="仿宋_GB2312" w:hint="eastAsia"/>
          <w:spacing w:val="-6"/>
          <w:kern w:val="2"/>
        </w:rPr>
        <w:t>个，数量接近全省一半。</w:t>
      </w:r>
    </w:p>
    <w:p w:rsidR="00CD2EF2" w:rsidRDefault="003F5178" w:rsidP="00BA1400">
      <w:pPr>
        <w:pStyle w:val="af9"/>
        <w:widowControl w:val="0"/>
        <w:snapToGrid w:val="0"/>
        <w:spacing w:line="336" w:lineRule="auto"/>
        <w:ind w:firstLine="628"/>
        <w:jc w:val="both"/>
        <w:outlineLvl w:val="1"/>
        <w:rPr>
          <w:spacing w:val="-6"/>
          <w:kern w:val="2"/>
        </w:rPr>
      </w:pPr>
      <w:bookmarkStart w:id="45" w:name="_Toc10_WPSOffice_Level2"/>
      <w:bookmarkStart w:id="46" w:name="_Toc10959"/>
      <w:bookmarkStart w:id="47" w:name="_Toc10260"/>
      <w:bookmarkStart w:id="48" w:name="_Toc24168"/>
      <w:bookmarkStart w:id="49" w:name="_Toc25909"/>
      <w:bookmarkStart w:id="50" w:name="_Toc13782"/>
      <w:bookmarkStart w:id="51" w:name="_Toc29325"/>
      <w:bookmarkStart w:id="52" w:name="_Toc22002"/>
      <w:bookmarkStart w:id="53" w:name="_Toc7893"/>
      <w:bookmarkStart w:id="54" w:name="_Toc22918"/>
      <w:bookmarkStart w:id="55" w:name="_Toc9634"/>
      <w:bookmarkStart w:id="56" w:name="_Toc27085"/>
      <w:r>
        <w:rPr>
          <w:rFonts w:hint="eastAsia"/>
          <w:spacing w:val="-6"/>
          <w:kern w:val="2"/>
        </w:rPr>
        <w:t>（三）粮食物资储备</w:t>
      </w:r>
      <w:bookmarkEnd w:id="45"/>
      <w:r>
        <w:rPr>
          <w:rFonts w:hint="eastAsia"/>
          <w:spacing w:val="-6"/>
          <w:kern w:val="2"/>
        </w:rPr>
        <w:t>展现新作为</w:t>
      </w:r>
      <w:bookmarkEnd w:id="46"/>
      <w:bookmarkEnd w:id="47"/>
      <w:bookmarkEnd w:id="48"/>
      <w:bookmarkEnd w:id="49"/>
      <w:bookmarkEnd w:id="50"/>
      <w:bookmarkEnd w:id="51"/>
      <w:bookmarkEnd w:id="52"/>
      <w:bookmarkEnd w:id="53"/>
      <w:bookmarkEnd w:id="54"/>
      <w:bookmarkEnd w:id="55"/>
      <w:bookmarkEnd w:id="56"/>
      <w:r>
        <w:rPr>
          <w:rFonts w:hint="eastAsia"/>
          <w:spacing w:val="-6"/>
          <w:kern w:val="2"/>
        </w:rPr>
        <w:t>。</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1.</w:t>
      </w:r>
      <w:r>
        <w:rPr>
          <w:rFonts w:ascii="仿宋_GB2312" w:eastAsia="仿宋_GB2312" w:hAnsi="仿宋_GB2312" w:hint="eastAsia"/>
          <w:spacing w:val="-6"/>
          <w:kern w:val="2"/>
        </w:rPr>
        <w:t>粮油流通产业发展迅速。</w:t>
      </w:r>
      <w:r>
        <w:rPr>
          <w:rFonts w:ascii="仿宋_GB2312" w:eastAsia="仿宋_GB2312" w:hAnsi="仿宋_GB2312" w:hint="eastAsia"/>
          <w:spacing w:val="-6"/>
          <w:kern w:val="2"/>
        </w:rPr>
        <w:t>截至</w:t>
      </w:r>
      <w:r>
        <w:rPr>
          <w:rFonts w:ascii="仿宋_GB2312" w:eastAsia="仿宋_GB2312" w:hAnsi="仿宋_GB2312" w:hint="eastAsia"/>
          <w:spacing w:val="-6"/>
          <w:kern w:val="2"/>
        </w:rPr>
        <w:t>2020</w:t>
      </w:r>
      <w:r>
        <w:rPr>
          <w:rFonts w:ascii="仿宋_GB2312" w:eastAsia="仿宋_GB2312" w:hAnsi="仿宋_GB2312" w:hint="eastAsia"/>
          <w:spacing w:val="-6"/>
          <w:kern w:val="2"/>
        </w:rPr>
        <w:t>年底，全市已建立省外粮食订单基地</w:t>
      </w:r>
      <w:r>
        <w:rPr>
          <w:rFonts w:ascii="仿宋_GB2312" w:eastAsia="仿宋_GB2312" w:hAnsi="仿宋_GB2312" w:hint="eastAsia"/>
          <w:spacing w:val="-6"/>
          <w:kern w:val="2"/>
        </w:rPr>
        <w:t>46</w:t>
      </w:r>
      <w:r>
        <w:rPr>
          <w:rFonts w:ascii="仿宋_GB2312" w:eastAsia="仿宋_GB2312" w:hAnsi="仿宋_GB2312" w:hint="eastAsia"/>
          <w:spacing w:val="-6"/>
          <w:kern w:val="2"/>
        </w:rPr>
        <w:t>个，面积达到</w:t>
      </w:r>
      <w:r>
        <w:rPr>
          <w:rFonts w:ascii="仿宋_GB2312" w:eastAsia="仿宋_GB2312" w:hAnsi="仿宋_GB2312" w:hint="eastAsia"/>
          <w:spacing w:val="-6"/>
          <w:kern w:val="2"/>
        </w:rPr>
        <w:t>71.0</w:t>
      </w:r>
      <w:r>
        <w:rPr>
          <w:rFonts w:ascii="仿宋_GB2312" w:eastAsia="仿宋_GB2312" w:hAnsi="仿宋_GB2312" w:hint="eastAsia"/>
          <w:spacing w:val="-6"/>
          <w:kern w:val="2"/>
        </w:rPr>
        <w:t>万亩。全市各粮油专业市场粮油及副产品累计成交量</w:t>
      </w:r>
      <w:r>
        <w:rPr>
          <w:rFonts w:ascii="仿宋_GB2312" w:eastAsia="仿宋_GB2312" w:hAnsi="仿宋_GB2312" w:hint="eastAsia"/>
          <w:spacing w:val="-6"/>
          <w:kern w:val="2"/>
        </w:rPr>
        <w:t>202.4</w:t>
      </w:r>
      <w:r>
        <w:rPr>
          <w:rFonts w:ascii="仿宋_GB2312" w:eastAsia="仿宋_GB2312" w:hAnsi="仿宋_GB2312" w:hint="eastAsia"/>
          <w:spacing w:val="-6"/>
          <w:kern w:val="2"/>
        </w:rPr>
        <w:t>万吨，成交额</w:t>
      </w:r>
      <w:r>
        <w:rPr>
          <w:rFonts w:ascii="仿宋_GB2312" w:eastAsia="仿宋_GB2312" w:hAnsi="仿宋_GB2312" w:hint="eastAsia"/>
          <w:spacing w:val="-6"/>
          <w:kern w:val="2"/>
        </w:rPr>
        <w:t>104.4</w:t>
      </w:r>
      <w:r>
        <w:rPr>
          <w:rFonts w:ascii="仿宋_GB2312" w:eastAsia="仿宋_GB2312" w:hAnsi="仿宋_GB2312" w:hint="eastAsia"/>
          <w:spacing w:val="-6"/>
          <w:kern w:val="2"/>
        </w:rPr>
        <w:t>亿元。实施“五优联动”新模式，萧山、余杭、桐庐、建德等区、县（市）被认定为“省级放心粮油示范县”。</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2.</w:t>
      </w:r>
      <w:r>
        <w:rPr>
          <w:rFonts w:ascii="仿宋_GB2312" w:eastAsia="仿宋_GB2312" w:hAnsi="仿宋_GB2312" w:hint="eastAsia"/>
          <w:spacing w:val="-6"/>
          <w:kern w:val="2"/>
        </w:rPr>
        <w:t>应急保障体系更趋完善。</w:t>
      </w:r>
      <w:r>
        <w:rPr>
          <w:rFonts w:ascii="仿宋_GB2312" w:eastAsia="仿宋_GB2312" w:hAnsi="仿宋_GB2312" w:hint="eastAsia"/>
          <w:spacing w:val="-6"/>
          <w:kern w:val="2"/>
        </w:rPr>
        <w:t>全市落实地方储备粮规模</w:t>
      </w:r>
      <w:r>
        <w:rPr>
          <w:rFonts w:ascii="仿宋_GB2312" w:eastAsia="仿宋_GB2312" w:hAnsi="仿宋_GB2312" w:hint="eastAsia"/>
          <w:spacing w:val="-6"/>
          <w:kern w:val="2"/>
        </w:rPr>
        <w:t>。设</w:t>
      </w:r>
      <w:r>
        <w:rPr>
          <w:rFonts w:ascii="仿宋_GB2312" w:eastAsia="仿宋_GB2312" w:hAnsi="仿宋_GB2312" w:hint="eastAsia"/>
          <w:spacing w:val="-6"/>
          <w:kern w:val="2"/>
        </w:rPr>
        <w:t>立应急加工企业</w:t>
      </w:r>
      <w:r>
        <w:rPr>
          <w:rFonts w:ascii="仿宋_GB2312" w:eastAsia="仿宋_GB2312" w:hAnsi="仿宋_GB2312" w:hint="eastAsia"/>
          <w:spacing w:val="-6"/>
          <w:kern w:val="2"/>
        </w:rPr>
        <w:t>32</w:t>
      </w:r>
      <w:r>
        <w:rPr>
          <w:rFonts w:ascii="仿宋_GB2312" w:eastAsia="仿宋_GB2312" w:hAnsi="仿宋_GB2312" w:hint="eastAsia"/>
          <w:spacing w:val="-6"/>
          <w:kern w:val="2"/>
        </w:rPr>
        <w:t>家，应急加工能力达</w:t>
      </w:r>
      <w:r>
        <w:rPr>
          <w:rFonts w:ascii="仿宋_GB2312" w:eastAsia="仿宋_GB2312" w:hAnsi="仿宋_GB2312" w:hint="eastAsia"/>
          <w:spacing w:val="-6"/>
          <w:kern w:val="2"/>
        </w:rPr>
        <w:t>5839</w:t>
      </w:r>
      <w:r>
        <w:rPr>
          <w:rFonts w:ascii="仿宋_GB2312" w:eastAsia="仿宋_GB2312" w:hAnsi="仿宋_GB2312" w:hint="eastAsia"/>
          <w:spacing w:val="-6"/>
          <w:kern w:val="2"/>
        </w:rPr>
        <w:t>吨；设立应急</w:t>
      </w:r>
      <w:r>
        <w:rPr>
          <w:rFonts w:ascii="仿宋_GB2312" w:eastAsia="仿宋_GB2312" w:hAnsi="仿宋_GB2312" w:hint="eastAsia"/>
          <w:spacing w:val="-6"/>
          <w:kern w:val="2"/>
        </w:rPr>
        <w:t>供应点</w:t>
      </w:r>
      <w:r>
        <w:rPr>
          <w:rFonts w:ascii="仿宋_GB2312" w:eastAsia="仿宋_GB2312" w:hAnsi="仿宋_GB2312" w:hint="eastAsia"/>
          <w:spacing w:val="-6"/>
          <w:kern w:val="2"/>
        </w:rPr>
        <w:t>352</w:t>
      </w:r>
      <w:r>
        <w:rPr>
          <w:rFonts w:ascii="仿宋_GB2312" w:eastAsia="仿宋_GB2312" w:hAnsi="仿宋_GB2312" w:hint="eastAsia"/>
          <w:spacing w:val="-6"/>
          <w:kern w:val="2"/>
        </w:rPr>
        <w:t>个，应急供应能力达到市本级常住居民</w:t>
      </w:r>
      <w:r>
        <w:rPr>
          <w:rFonts w:ascii="仿宋_GB2312" w:eastAsia="仿宋_GB2312" w:hAnsi="仿宋_GB2312" w:hint="eastAsia"/>
          <w:spacing w:val="-6"/>
          <w:kern w:val="2"/>
        </w:rPr>
        <w:t>15</w:t>
      </w:r>
      <w:r>
        <w:rPr>
          <w:rFonts w:ascii="仿宋_GB2312" w:eastAsia="仿宋_GB2312" w:hAnsi="仿宋_GB2312" w:hint="eastAsia"/>
          <w:spacing w:val="-6"/>
          <w:kern w:val="2"/>
        </w:rPr>
        <w:t>天供应量。出台《杭州市救灾物资储备管理实施细则》，建立救灾物资储备使用管理联动机制。新冠肺炎疫情期间，坚决打好疫情防控和市场保供攻坚战。</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3.</w:t>
      </w:r>
      <w:r>
        <w:rPr>
          <w:rFonts w:ascii="仿宋_GB2312" w:eastAsia="仿宋_GB2312" w:hAnsi="仿宋_GB2312" w:hint="eastAsia"/>
          <w:spacing w:val="-6"/>
          <w:kern w:val="2"/>
        </w:rPr>
        <w:t>粮食收储能力显著增强。</w:t>
      </w:r>
      <w:r>
        <w:rPr>
          <w:rFonts w:ascii="仿宋_GB2312" w:eastAsia="仿宋_GB2312" w:hAnsi="仿宋_GB2312" w:hint="eastAsia"/>
          <w:spacing w:val="-6"/>
          <w:kern w:val="2"/>
        </w:rPr>
        <w:t>新建高标准粮库</w:t>
      </w:r>
      <w:r>
        <w:rPr>
          <w:rFonts w:ascii="仿宋_GB2312" w:eastAsia="仿宋_GB2312" w:hAnsi="仿宋_GB2312" w:hint="eastAsia"/>
          <w:spacing w:val="-6"/>
          <w:kern w:val="2"/>
        </w:rPr>
        <w:t>14</w:t>
      </w:r>
      <w:r>
        <w:rPr>
          <w:rFonts w:ascii="仿宋_GB2312" w:eastAsia="仿宋_GB2312" w:hAnsi="仿宋_GB2312" w:hint="eastAsia"/>
          <w:spacing w:val="-6"/>
          <w:kern w:val="2"/>
        </w:rPr>
        <w:t>个、植物油库</w:t>
      </w:r>
      <w:r>
        <w:rPr>
          <w:rFonts w:ascii="仿宋_GB2312" w:eastAsia="仿宋_GB2312" w:hAnsi="仿宋_GB2312" w:hint="eastAsia"/>
          <w:spacing w:val="-6"/>
          <w:kern w:val="2"/>
        </w:rPr>
        <w:t>2</w:t>
      </w:r>
      <w:r>
        <w:rPr>
          <w:rFonts w:ascii="仿宋_GB2312" w:eastAsia="仿宋_GB2312" w:hAnsi="仿宋_GB2312" w:hint="eastAsia"/>
          <w:spacing w:val="-6"/>
          <w:kern w:val="2"/>
        </w:rPr>
        <w:t>个，市内新增仓容</w:t>
      </w:r>
      <w:r>
        <w:rPr>
          <w:rFonts w:ascii="仿宋_GB2312" w:eastAsia="仿宋_GB2312" w:hAnsi="仿宋_GB2312" w:hint="eastAsia"/>
          <w:spacing w:val="-6"/>
          <w:kern w:val="2"/>
        </w:rPr>
        <w:t>13.1</w:t>
      </w:r>
      <w:r>
        <w:rPr>
          <w:rFonts w:ascii="仿宋_GB2312" w:eastAsia="仿宋_GB2312" w:hAnsi="仿宋_GB2312" w:hint="eastAsia"/>
          <w:spacing w:val="-6"/>
          <w:kern w:val="2"/>
        </w:rPr>
        <w:t>万吨；省外建仓</w:t>
      </w:r>
      <w:r>
        <w:rPr>
          <w:rFonts w:ascii="仿宋_GB2312" w:eastAsia="仿宋_GB2312" w:hAnsi="仿宋_GB2312" w:hint="eastAsia"/>
          <w:spacing w:val="-6"/>
          <w:kern w:val="2"/>
        </w:rPr>
        <w:t>15</w:t>
      </w:r>
      <w:r>
        <w:rPr>
          <w:rFonts w:ascii="仿宋_GB2312" w:eastAsia="仿宋_GB2312" w:hAnsi="仿宋_GB2312" w:hint="eastAsia"/>
          <w:spacing w:val="-6"/>
          <w:kern w:val="2"/>
        </w:rPr>
        <w:t>万吨，改造仓容</w:t>
      </w:r>
      <w:r>
        <w:rPr>
          <w:rFonts w:ascii="仿宋_GB2312" w:eastAsia="仿宋_GB2312" w:hAnsi="仿宋_GB2312" w:hint="eastAsia"/>
          <w:spacing w:val="-6"/>
          <w:kern w:val="2"/>
        </w:rPr>
        <w:t>83</w:t>
      </w:r>
      <w:r>
        <w:rPr>
          <w:rFonts w:ascii="仿宋_GB2312" w:eastAsia="仿宋_GB2312" w:hAnsi="仿宋_GB2312" w:hint="eastAsia"/>
          <w:spacing w:val="-6"/>
          <w:kern w:val="2"/>
        </w:rPr>
        <w:t>万吨。建成三星级粮库</w:t>
      </w:r>
      <w:r>
        <w:rPr>
          <w:rFonts w:ascii="仿宋_GB2312" w:eastAsia="仿宋_GB2312" w:hAnsi="仿宋_GB2312" w:hint="eastAsia"/>
          <w:spacing w:val="-6"/>
          <w:kern w:val="2"/>
        </w:rPr>
        <w:t>6</w:t>
      </w:r>
      <w:r>
        <w:rPr>
          <w:rFonts w:ascii="仿宋_GB2312" w:eastAsia="仿宋_GB2312" w:hAnsi="仿宋_GB2312" w:hint="eastAsia"/>
          <w:spacing w:val="-6"/>
          <w:kern w:val="2"/>
        </w:rPr>
        <w:t>家，四星级粮库</w:t>
      </w:r>
      <w:r>
        <w:rPr>
          <w:rFonts w:ascii="仿宋_GB2312" w:eastAsia="仿宋_GB2312" w:hAnsi="仿宋_GB2312" w:hint="eastAsia"/>
          <w:spacing w:val="-6"/>
          <w:kern w:val="2"/>
        </w:rPr>
        <w:t>8</w:t>
      </w:r>
      <w:r>
        <w:rPr>
          <w:rFonts w:ascii="仿宋_GB2312" w:eastAsia="仿宋_GB2312" w:hAnsi="仿宋_GB2312" w:hint="eastAsia"/>
          <w:spacing w:val="-6"/>
          <w:kern w:val="2"/>
        </w:rPr>
        <w:t>家，数量及比例均居全省前列。</w:t>
      </w:r>
    </w:p>
    <w:p w:rsidR="00CD2EF2" w:rsidRDefault="003F5178" w:rsidP="00BA1400">
      <w:pPr>
        <w:pStyle w:val="af9"/>
        <w:widowControl w:val="0"/>
        <w:snapToGrid w:val="0"/>
        <w:spacing w:line="336" w:lineRule="auto"/>
        <w:ind w:firstLine="628"/>
        <w:jc w:val="both"/>
        <w:rPr>
          <w:rFonts w:ascii="仿宋_GB2312" w:eastAsia="仿宋_GB2312" w:hAnsi="仿宋_GB2312"/>
          <w:spacing w:val="-6"/>
          <w:kern w:val="2"/>
        </w:rPr>
      </w:pPr>
      <w:r>
        <w:rPr>
          <w:rFonts w:ascii="仿宋_GB2312" w:eastAsia="仿宋_GB2312" w:hAnsi="仿宋_GB2312" w:hint="eastAsia"/>
          <w:spacing w:val="-6"/>
          <w:kern w:val="2"/>
        </w:rPr>
        <w:t>4.</w:t>
      </w:r>
      <w:r>
        <w:rPr>
          <w:rFonts w:ascii="仿宋_GB2312" w:eastAsia="仿宋_GB2312" w:hAnsi="仿宋_GB2312" w:hint="eastAsia"/>
          <w:spacing w:val="-6"/>
          <w:kern w:val="2"/>
        </w:rPr>
        <w:t>仓储新技术应用全面普及。</w:t>
      </w:r>
      <w:r>
        <w:rPr>
          <w:rFonts w:ascii="仿宋_GB2312" w:eastAsia="仿宋_GB2312" w:hAnsi="仿宋_GB2312" w:hint="eastAsia"/>
          <w:spacing w:val="-6"/>
          <w:kern w:val="2"/>
        </w:rPr>
        <w:t>“十三五”时期，“四合一”信息管理新技术得到广泛应用，充氮气调仓容达</w:t>
      </w:r>
      <w:r>
        <w:rPr>
          <w:rFonts w:ascii="仿宋_GB2312" w:eastAsia="仿宋_GB2312" w:hAnsi="仿宋_GB2312" w:hint="eastAsia"/>
          <w:spacing w:val="-6"/>
          <w:kern w:val="2"/>
        </w:rPr>
        <w:t>64.3</w:t>
      </w:r>
      <w:r>
        <w:rPr>
          <w:rFonts w:ascii="仿宋_GB2312" w:eastAsia="仿宋_GB2312" w:hAnsi="仿宋_GB2312" w:hint="eastAsia"/>
          <w:spacing w:val="-6"/>
          <w:kern w:val="2"/>
        </w:rPr>
        <w:t>万吨、准低温仓容达</w:t>
      </w:r>
      <w:r>
        <w:rPr>
          <w:rFonts w:ascii="仿宋_GB2312" w:eastAsia="仿宋_GB2312" w:hAnsi="仿宋_GB2312" w:hint="eastAsia"/>
          <w:spacing w:val="-6"/>
          <w:kern w:val="2"/>
        </w:rPr>
        <w:t>56.4</w:t>
      </w:r>
      <w:r>
        <w:rPr>
          <w:rFonts w:ascii="仿宋_GB2312" w:eastAsia="仿宋_GB2312" w:hAnsi="仿宋_GB2312" w:hint="eastAsia"/>
          <w:spacing w:val="-6"/>
          <w:kern w:val="2"/>
        </w:rPr>
        <w:t>万吨，所</w:t>
      </w:r>
      <w:r>
        <w:rPr>
          <w:rFonts w:ascii="仿宋_GB2312" w:eastAsia="仿宋_GB2312" w:hAnsi="仿宋_GB2312" w:hint="eastAsia"/>
          <w:spacing w:val="-6"/>
          <w:kern w:val="2"/>
        </w:rPr>
        <w:t>有中心粮库均完成“智慧粮库”系统建设。</w:t>
      </w:r>
    </w:p>
    <w:p w:rsidR="00CD2EF2" w:rsidRDefault="003F5178" w:rsidP="00BA1400">
      <w:pPr>
        <w:pStyle w:val="af9"/>
        <w:widowControl w:val="0"/>
        <w:snapToGrid w:val="0"/>
        <w:spacing w:line="336" w:lineRule="auto"/>
        <w:ind w:firstLine="628"/>
        <w:jc w:val="both"/>
        <w:rPr>
          <w:rFonts w:eastAsia="仿宋_GB2312"/>
          <w:spacing w:val="-6"/>
          <w:kern w:val="2"/>
        </w:rPr>
      </w:pPr>
      <w:r>
        <w:rPr>
          <w:rFonts w:ascii="仿宋_GB2312" w:eastAsia="仿宋_GB2312" w:hAnsi="仿宋_GB2312" w:hint="eastAsia"/>
          <w:spacing w:val="-6"/>
          <w:kern w:val="2"/>
        </w:rPr>
        <w:t>5.</w:t>
      </w:r>
      <w:r>
        <w:rPr>
          <w:rFonts w:ascii="仿宋_GB2312" w:eastAsia="仿宋_GB2312" w:hAnsi="仿宋_GB2312" w:hint="eastAsia"/>
          <w:spacing w:val="-6"/>
          <w:kern w:val="2"/>
        </w:rPr>
        <w:t>粮食质量监管能力逐步强化。</w:t>
      </w:r>
      <w:r>
        <w:rPr>
          <w:rFonts w:ascii="仿宋_GB2312" w:eastAsia="仿宋_GB2312" w:hAnsi="仿宋_GB2312" w:hint="eastAsia"/>
          <w:spacing w:val="-6"/>
          <w:kern w:val="2"/>
        </w:rPr>
        <w:t>专业机构和粮油企业的检验</w:t>
      </w:r>
      <w:r>
        <w:rPr>
          <w:rFonts w:ascii="仿宋_GB2312" w:eastAsia="仿宋_GB2312" w:hAnsi="仿宋_GB2312" w:hint="eastAsia"/>
          <w:spacing w:val="-6"/>
          <w:kern w:val="2"/>
        </w:rPr>
        <w:lastRenderedPageBreak/>
        <w:t>检测精准度和效率显著提升，粮食质量安全检验监测体系逐步形成。粮食质量安全监测关口前移，储备粮油出入库质量检测和品牌粮油质量检测的监管力度明显增强。</w:t>
      </w:r>
    </w:p>
    <w:p w:rsidR="00CD2EF2" w:rsidRDefault="003F5178">
      <w:pPr>
        <w:adjustRightInd w:val="0"/>
        <w:spacing w:line="288" w:lineRule="auto"/>
        <w:jc w:val="center"/>
        <w:outlineLvl w:val="0"/>
        <w:rPr>
          <w:rFonts w:eastAsia="黑体"/>
          <w:sz w:val="28"/>
          <w:szCs w:val="28"/>
        </w:rPr>
      </w:pPr>
      <w:bookmarkStart w:id="57" w:name="_Toc30844_WPSOffice_Level2"/>
      <w:bookmarkStart w:id="58" w:name="_Toc32562_WPSOffice_Level2"/>
      <w:bookmarkStart w:id="59" w:name="_Toc9493_WPSOffice_Level2"/>
      <w:bookmarkStart w:id="60" w:name="_Toc30742_WPSOffice_Level2"/>
      <w:bookmarkStart w:id="61" w:name="_Toc4144_WPSOffice_Level2"/>
      <w:r>
        <w:rPr>
          <w:rFonts w:ascii="黑体" w:eastAsia="黑体" w:hAnsi="黑体" w:cs="黑体" w:hint="eastAsia"/>
          <w:sz w:val="28"/>
          <w:szCs w:val="28"/>
        </w:rPr>
        <w:t>表</w:t>
      </w:r>
      <w:r>
        <w:rPr>
          <w:rFonts w:ascii="黑体" w:eastAsia="黑体" w:hAnsi="黑体" w:cs="黑体" w:hint="eastAsia"/>
          <w:sz w:val="28"/>
          <w:szCs w:val="28"/>
        </w:rPr>
        <w:t xml:space="preserve">1  </w:t>
      </w:r>
      <w:r>
        <w:rPr>
          <w:rFonts w:ascii="黑体" w:eastAsia="黑体" w:hAnsi="黑体" w:cs="黑体" w:hint="eastAsia"/>
          <w:sz w:val="28"/>
          <w:szCs w:val="28"/>
        </w:rPr>
        <w:t>“十三五”规划主要目标完成情况</w:t>
      </w:r>
      <w:bookmarkEnd w:id="57"/>
      <w:bookmarkEnd w:id="58"/>
      <w:bookmarkEnd w:id="59"/>
      <w:bookmarkEnd w:id="60"/>
      <w:bookmarkEnd w:id="61"/>
    </w:p>
    <w:tbl>
      <w:tblPr>
        <w:tblW w:w="8844"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842"/>
        <w:gridCol w:w="1330"/>
        <w:gridCol w:w="1370"/>
        <w:gridCol w:w="1533"/>
      </w:tblGrid>
      <w:tr w:rsidR="00CD2EF2">
        <w:trPr>
          <w:jc w:val="center"/>
        </w:trPr>
        <w:tc>
          <w:tcPr>
            <w:tcW w:w="1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40" w:lineRule="auto"/>
              <w:jc w:val="center"/>
              <w:rPr>
                <w:rFonts w:ascii="黑体" w:eastAsia="黑体" w:hAnsi="黑体"/>
                <w:kern w:val="0"/>
                <w:sz w:val="24"/>
              </w:rPr>
            </w:pPr>
            <w:r>
              <w:rPr>
                <w:rFonts w:ascii="黑体" w:eastAsia="黑体" w:hAnsi="黑体" w:hint="eastAsia"/>
                <w:kern w:val="0"/>
                <w:sz w:val="24"/>
              </w:rPr>
              <w:t>类</w:t>
            </w:r>
            <w:r>
              <w:rPr>
                <w:rFonts w:ascii="黑体" w:eastAsia="黑体" w:hAnsi="黑体" w:hint="eastAsia"/>
                <w:kern w:val="0"/>
                <w:sz w:val="24"/>
              </w:rPr>
              <w:t xml:space="preserve"> </w:t>
            </w:r>
            <w:r>
              <w:rPr>
                <w:rFonts w:ascii="黑体" w:eastAsia="黑体" w:hAnsi="黑体" w:hint="eastAsia"/>
                <w:kern w:val="0"/>
                <w:sz w:val="24"/>
              </w:rPr>
              <w:t>别</w:t>
            </w:r>
          </w:p>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40" w:lineRule="auto"/>
              <w:jc w:val="center"/>
              <w:rPr>
                <w:rFonts w:ascii="黑体" w:eastAsia="黑体" w:hAnsi="黑体"/>
                <w:kern w:val="0"/>
                <w:sz w:val="24"/>
              </w:rPr>
            </w:pPr>
            <w:r>
              <w:rPr>
                <w:rFonts w:ascii="黑体" w:eastAsia="黑体" w:hAnsi="黑体" w:hint="eastAsia"/>
                <w:kern w:val="0"/>
                <w:sz w:val="24"/>
              </w:rPr>
              <w:t>指标名称</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40" w:lineRule="auto"/>
              <w:jc w:val="center"/>
              <w:rPr>
                <w:rFonts w:ascii="黑体" w:eastAsia="黑体" w:hAnsi="黑体"/>
                <w:kern w:val="0"/>
                <w:sz w:val="24"/>
              </w:rPr>
            </w:pPr>
            <w:r>
              <w:rPr>
                <w:rFonts w:ascii="黑体" w:eastAsia="黑体" w:hAnsi="黑体" w:hint="eastAsia"/>
                <w:kern w:val="0"/>
                <w:sz w:val="24"/>
              </w:rPr>
              <w:t>单位</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1"/>
              <w:widowControl w:val="0"/>
              <w:adjustRightInd w:val="0"/>
              <w:snapToGrid w:val="0"/>
              <w:spacing w:line="240" w:lineRule="auto"/>
              <w:ind w:firstLineChars="0" w:firstLine="0"/>
              <w:jc w:val="center"/>
              <w:rPr>
                <w:rFonts w:ascii="黑体" w:eastAsia="黑体" w:hAnsi="黑体"/>
                <w:sz w:val="24"/>
              </w:rPr>
            </w:pPr>
            <w:bookmarkStart w:id="62" w:name="_Toc3534"/>
            <w:bookmarkStart w:id="63" w:name="_Toc31645"/>
            <w:bookmarkStart w:id="64" w:name="_Toc11450"/>
            <w:bookmarkStart w:id="65" w:name="_Toc29364"/>
            <w:bookmarkStart w:id="66" w:name="_Toc13702"/>
            <w:bookmarkStart w:id="67" w:name="_Toc9503"/>
            <w:bookmarkStart w:id="68" w:name="_Toc24455"/>
            <w:bookmarkStart w:id="69" w:name="_Toc4917"/>
            <w:bookmarkStart w:id="70" w:name="_Toc28409"/>
            <w:bookmarkStart w:id="71" w:name="_Toc2212"/>
            <w:bookmarkStart w:id="72" w:name="_Toc30488"/>
            <w:bookmarkStart w:id="73" w:name="_Toc8027"/>
            <w:bookmarkStart w:id="74" w:name="_Toc8514"/>
            <w:r>
              <w:rPr>
                <w:rFonts w:ascii="黑体" w:eastAsia="黑体" w:hAnsi="黑体" w:hint="eastAsia"/>
                <w:sz w:val="24"/>
              </w:rPr>
              <w:t>2020</w:t>
            </w:r>
            <w:r>
              <w:rPr>
                <w:rFonts w:ascii="黑体" w:eastAsia="黑体" w:hAnsi="黑体" w:hint="eastAsia"/>
                <w:sz w:val="24"/>
              </w:rPr>
              <w:t>年</w:t>
            </w:r>
            <w:bookmarkEnd w:id="62"/>
            <w:bookmarkEnd w:id="63"/>
            <w:bookmarkEnd w:id="64"/>
            <w:bookmarkEnd w:id="65"/>
            <w:bookmarkEnd w:id="66"/>
            <w:bookmarkEnd w:id="67"/>
            <w:bookmarkEnd w:id="68"/>
            <w:bookmarkEnd w:id="69"/>
            <w:bookmarkEnd w:id="70"/>
            <w:bookmarkEnd w:id="71"/>
            <w:bookmarkEnd w:id="72"/>
            <w:bookmarkEnd w:id="73"/>
            <w:bookmarkEnd w:id="74"/>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40" w:lineRule="auto"/>
              <w:jc w:val="center"/>
              <w:rPr>
                <w:rFonts w:ascii="黑体" w:eastAsia="黑体" w:hAnsi="黑体"/>
                <w:kern w:val="0"/>
                <w:sz w:val="24"/>
              </w:rPr>
            </w:pPr>
            <w:r>
              <w:rPr>
                <w:rFonts w:ascii="黑体" w:eastAsia="黑体" w:hAnsi="黑体" w:hint="eastAsia"/>
                <w:kern w:val="0"/>
                <w:sz w:val="24"/>
              </w:rPr>
              <w:t>“十三五”</w:t>
            </w:r>
          </w:p>
          <w:p w:rsidR="00CD2EF2" w:rsidRDefault="003F5178">
            <w:pPr>
              <w:adjustRightInd w:val="0"/>
              <w:snapToGrid w:val="0"/>
              <w:spacing w:line="240" w:lineRule="auto"/>
              <w:jc w:val="center"/>
              <w:rPr>
                <w:rFonts w:ascii="黑体" w:eastAsia="黑体" w:hAnsi="黑体"/>
                <w:kern w:val="0"/>
                <w:sz w:val="24"/>
              </w:rPr>
            </w:pPr>
            <w:r>
              <w:rPr>
                <w:rFonts w:ascii="黑体" w:eastAsia="黑体" w:hAnsi="黑体" w:hint="eastAsia"/>
                <w:kern w:val="0"/>
                <w:sz w:val="24"/>
              </w:rPr>
              <w:t>规划目标</w:t>
            </w:r>
          </w:p>
        </w:tc>
      </w:tr>
      <w:tr w:rsidR="00CD2EF2">
        <w:trPr>
          <w:trHeight w:val="437"/>
          <w:jc w:val="center"/>
        </w:trPr>
        <w:tc>
          <w:tcPr>
            <w:tcW w:w="17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jc w:val="center"/>
              <w:rPr>
                <w:rFonts w:ascii="仿宋_GB2312" w:hAnsi="仿宋_GB2312"/>
                <w:kern w:val="0"/>
                <w:sz w:val="24"/>
              </w:rPr>
            </w:pPr>
            <w:r>
              <w:rPr>
                <w:rFonts w:ascii="仿宋_GB2312" w:hAnsi="仿宋_GB2312" w:hint="eastAsia"/>
                <w:kern w:val="0"/>
                <w:sz w:val="24"/>
              </w:rPr>
              <w:t>商贸流通</w:t>
            </w:r>
          </w:p>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社会消费品零售总额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6055</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6900</w:t>
            </w:r>
          </w:p>
        </w:tc>
      </w:tr>
      <w:tr w:rsidR="00CD2EF2">
        <w:trPr>
          <w:trHeight w:val="437"/>
          <w:jc w:val="center"/>
        </w:trPr>
        <w:tc>
          <w:tcPr>
            <w:tcW w:w="1769"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网络零售额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8992.2</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5000</w:t>
            </w:r>
            <w:r>
              <w:rPr>
                <w:rFonts w:ascii="仿宋_GB2312" w:hAnsi="仿宋_GB2312" w:hint="eastAsia"/>
                <w:kern w:val="0"/>
                <w:sz w:val="24"/>
              </w:rPr>
              <w:t>以上</w:t>
            </w:r>
          </w:p>
        </w:tc>
      </w:tr>
      <w:tr w:rsidR="00CD2EF2">
        <w:trPr>
          <w:trHeight w:val="437"/>
          <w:jc w:val="center"/>
        </w:trPr>
        <w:tc>
          <w:tcPr>
            <w:tcW w:w="17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jc w:val="center"/>
              <w:rPr>
                <w:rFonts w:ascii="仿宋_GB2312" w:hAnsi="仿宋_GB2312"/>
                <w:kern w:val="0"/>
                <w:sz w:val="24"/>
              </w:rPr>
            </w:pPr>
            <w:r>
              <w:rPr>
                <w:rFonts w:ascii="仿宋_GB2312" w:hAnsi="仿宋_GB2312" w:hint="eastAsia"/>
                <w:kern w:val="0"/>
                <w:sz w:val="24"/>
              </w:rPr>
              <w:t>对外贸易</w:t>
            </w:r>
          </w:p>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市属出口额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亿美元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506.3</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570</w:t>
            </w:r>
          </w:p>
        </w:tc>
      </w:tr>
      <w:tr w:rsidR="00CD2EF2">
        <w:trPr>
          <w:trHeight w:val="437"/>
          <w:jc w:val="center"/>
        </w:trPr>
        <w:tc>
          <w:tcPr>
            <w:tcW w:w="1769"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自主品牌出口比重</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27.6</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25</w:t>
            </w:r>
            <w:r>
              <w:rPr>
                <w:rFonts w:ascii="仿宋_GB2312" w:hAnsi="仿宋_GB2312" w:hint="eastAsia"/>
                <w:kern w:val="0"/>
                <w:sz w:val="24"/>
              </w:rPr>
              <w:t>以上</w:t>
            </w:r>
          </w:p>
        </w:tc>
      </w:tr>
      <w:tr w:rsidR="00CD2EF2">
        <w:trPr>
          <w:trHeight w:val="437"/>
          <w:jc w:val="center"/>
        </w:trPr>
        <w:tc>
          <w:tcPr>
            <w:tcW w:w="17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jc w:val="center"/>
              <w:rPr>
                <w:rFonts w:ascii="仿宋_GB2312" w:hAnsi="仿宋_GB2312"/>
                <w:kern w:val="0"/>
                <w:sz w:val="24"/>
              </w:rPr>
            </w:pPr>
            <w:r>
              <w:rPr>
                <w:rFonts w:ascii="仿宋_GB2312" w:hAnsi="仿宋_GB2312" w:hint="eastAsia"/>
                <w:kern w:val="0"/>
                <w:sz w:val="24"/>
              </w:rPr>
              <w:t>对外投资合作</w:t>
            </w:r>
          </w:p>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中方投资额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亿美元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36.9</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32</w:t>
            </w:r>
          </w:p>
        </w:tc>
      </w:tr>
      <w:tr w:rsidR="00CD2EF2">
        <w:trPr>
          <w:trHeight w:val="437"/>
          <w:jc w:val="center"/>
        </w:trPr>
        <w:tc>
          <w:tcPr>
            <w:tcW w:w="1769"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国际经济合作营业额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亿美元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[115.4]</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[60]</w:t>
            </w:r>
          </w:p>
        </w:tc>
      </w:tr>
      <w:tr w:rsidR="00CD2EF2">
        <w:trPr>
          <w:trHeight w:val="437"/>
          <w:jc w:val="center"/>
        </w:trPr>
        <w:tc>
          <w:tcPr>
            <w:tcW w:w="1769"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本土世界</w:t>
            </w:r>
            <w:r>
              <w:rPr>
                <w:rFonts w:ascii="仿宋_GB2312" w:hAnsi="仿宋_GB2312" w:hint="eastAsia"/>
                <w:kern w:val="0"/>
                <w:sz w:val="24"/>
              </w:rPr>
              <w:t>500</w:t>
            </w:r>
            <w:r>
              <w:rPr>
                <w:rFonts w:ascii="仿宋_GB2312" w:hAnsi="仿宋_GB2312" w:hint="eastAsia"/>
                <w:kern w:val="0"/>
                <w:sz w:val="24"/>
              </w:rPr>
              <w:t>强跨国公司</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家</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3</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3</w:t>
            </w:r>
          </w:p>
        </w:tc>
      </w:tr>
      <w:tr w:rsidR="00CD2EF2">
        <w:trPr>
          <w:trHeight w:val="437"/>
          <w:jc w:val="center"/>
        </w:trPr>
        <w:tc>
          <w:tcPr>
            <w:tcW w:w="17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jc w:val="center"/>
              <w:rPr>
                <w:rFonts w:ascii="仿宋_GB2312" w:hAnsi="仿宋_GB2312"/>
                <w:kern w:val="0"/>
                <w:sz w:val="24"/>
              </w:rPr>
            </w:pPr>
            <w:r>
              <w:rPr>
                <w:rFonts w:ascii="仿宋_GB2312" w:hAnsi="仿宋_GB2312" w:hint="eastAsia"/>
                <w:kern w:val="0"/>
                <w:sz w:val="24"/>
              </w:rPr>
              <w:t>服务贸易</w:t>
            </w:r>
          </w:p>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服务贸易额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亿美元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408.4</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300</w:t>
            </w:r>
          </w:p>
        </w:tc>
      </w:tr>
      <w:tr w:rsidR="00CD2EF2">
        <w:trPr>
          <w:trHeight w:val="437"/>
          <w:jc w:val="center"/>
        </w:trPr>
        <w:tc>
          <w:tcPr>
            <w:tcW w:w="1769"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left"/>
              <w:rPr>
                <w:rFonts w:ascii="仿宋_GB2312" w:hAnsi="仿宋_GB2312"/>
                <w:kern w:val="0"/>
                <w:sz w:val="24"/>
              </w:rPr>
            </w:pPr>
            <w:r>
              <w:rPr>
                <w:rFonts w:ascii="仿宋_GB2312" w:hAnsi="仿宋_GB2312" w:hint="eastAsia"/>
                <w:kern w:val="0"/>
                <w:sz w:val="24"/>
              </w:rPr>
              <w:t>离岸外包执行额</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亿美元</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77.7</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仿宋_GB2312" w:hAnsi="仿宋_GB2312"/>
                <w:kern w:val="0"/>
                <w:sz w:val="24"/>
              </w:rPr>
            </w:pPr>
            <w:r>
              <w:rPr>
                <w:rFonts w:ascii="仿宋_GB2312" w:hAnsi="仿宋_GB2312" w:hint="eastAsia"/>
                <w:kern w:val="0"/>
                <w:sz w:val="24"/>
              </w:rPr>
              <w:t>84</w:t>
            </w:r>
          </w:p>
        </w:tc>
      </w:tr>
      <w:tr w:rsidR="00CD2EF2">
        <w:trPr>
          <w:jc w:val="center"/>
        </w:trPr>
        <w:tc>
          <w:tcPr>
            <w:tcW w:w="8844" w:type="dxa"/>
            <w:gridSpan w:val="5"/>
            <w:tcBorders>
              <w:top w:val="single" w:sz="4" w:space="0" w:color="auto"/>
              <w:left w:val="nil"/>
              <w:bottom w:val="nil"/>
              <w:right w:val="nil"/>
            </w:tcBorders>
            <w:tcMar>
              <w:top w:w="0" w:type="dxa"/>
              <w:left w:w="108" w:type="dxa"/>
              <w:bottom w:w="0" w:type="dxa"/>
              <w:right w:w="108" w:type="dxa"/>
            </w:tcMar>
          </w:tcPr>
          <w:p w:rsidR="00CD2EF2" w:rsidRDefault="003F5178">
            <w:pPr>
              <w:pStyle w:val="a1"/>
              <w:snapToGrid w:val="0"/>
              <w:spacing w:line="264" w:lineRule="auto"/>
              <w:ind w:firstLineChars="0" w:firstLine="0"/>
              <w:rPr>
                <w:rFonts w:ascii="楷体_GB2312" w:eastAsia="楷体_GB2312" w:hAnsi="楷体_GB2312"/>
                <w:spacing w:val="-6"/>
                <w:kern w:val="24"/>
              </w:rPr>
            </w:pPr>
            <w:r>
              <w:rPr>
                <w:rFonts w:ascii="楷体_GB2312" w:eastAsia="楷体_GB2312" w:hAnsi="楷体_GB2312" w:hint="eastAsia"/>
                <w:spacing w:val="-6"/>
                <w:kern w:val="24"/>
              </w:rPr>
              <w:t>注：</w:t>
            </w:r>
            <w:r>
              <w:rPr>
                <w:rFonts w:ascii="楷体_GB2312" w:eastAsia="楷体_GB2312" w:hAnsi="楷体_GB2312" w:hint="eastAsia"/>
                <w:spacing w:val="-6"/>
                <w:kern w:val="24"/>
              </w:rPr>
              <w:t>1.[  ]</w:t>
            </w:r>
            <w:r>
              <w:rPr>
                <w:rFonts w:ascii="楷体_GB2312" w:eastAsia="楷体_GB2312" w:hAnsi="楷体_GB2312" w:hint="eastAsia"/>
                <w:spacing w:val="-6"/>
                <w:kern w:val="24"/>
              </w:rPr>
              <w:t>内数均为五年累计数。</w:t>
            </w:r>
          </w:p>
          <w:p w:rsidR="00CD2EF2" w:rsidRDefault="003F5178" w:rsidP="00BA1400">
            <w:pPr>
              <w:pStyle w:val="a1"/>
              <w:snapToGrid w:val="0"/>
              <w:spacing w:line="264" w:lineRule="auto"/>
              <w:ind w:firstLineChars="200" w:firstLine="468"/>
              <w:rPr>
                <w:rFonts w:ascii="楷体_GB2312" w:eastAsia="楷体_GB2312" w:hAnsi="楷体_GB2312"/>
                <w:spacing w:val="-6"/>
                <w:kern w:val="24"/>
              </w:rPr>
            </w:pPr>
            <w:r>
              <w:rPr>
                <w:rFonts w:ascii="楷体_GB2312" w:eastAsia="楷体_GB2312" w:hAnsi="楷体_GB2312" w:hint="eastAsia"/>
                <w:spacing w:val="-6"/>
                <w:kern w:val="24"/>
              </w:rPr>
              <w:t>2.2017</w:t>
            </w:r>
            <w:r>
              <w:rPr>
                <w:rFonts w:ascii="楷体_GB2312" w:eastAsia="楷体_GB2312" w:hAnsi="楷体_GB2312" w:hint="eastAsia"/>
                <w:spacing w:val="-6"/>
                <w:kern w:val="24"/>
              </w:rPr>
              <w:t>年引进外资职能划出。</w:t>
            </w:r>
            <w:r>
              <w:rPr>
                <w:rFonts w:ascii="楷体_GB2312" w:eastAsia="楷体_GB2312" w:hAnsi="楷体_GB2312" w:hint="eastAsia"/>
                <w:spacing w:val="-6"/>
                <w:kern w:val="24"/>
              </w:rPr>
              <w:t>2016</w:t>
            </w:r>
            <w:r>
              <w:rPr>
                <w:rFonts w:ascii="楷体_GB2312" w:eastAsia="楷体_GB2312" w:hAnsi="楷体_GB2312" w:hint="eastAsia"/>
                <w:spacing w:val="-6"/>
                <w:kern w:val="24"/>
              </w:rPr>
              <w:t>—</w:t>
            </w:r>
            <w:r>
              <w:rPr>
                <w:rFonts w:ascii="楷体_GB2312" w:eastAsia="楷体_GB2312" w:hAnsi="楷体_GB2312" w:hint="eastAsia"/>
                <w:spacing w:val="-6"/>
                <w:kern w:val="24"/>
              </w:rPr>
              <w:t>2017</w:t>
            </w:r>
            <w:r>
              <w:rPr>
                <w:rFonts w:ascii="楷体_GB2312" w:eastAsia="楷体_GB2312" w:hAnsi="楷体_GB2312" w:hint="eastAsia"/>
                <w:spacing w:val="-6"/>
                <w:kern w:val="24"/>
              </w:rPr>
              <w:t>年，杭州外商直接投资项目共计</w:t>
            </w:r>
            <w:r>
              <w:rPr>
                <w:rFonts w:ascii="楷体_GB2312" w:eastAsia="楷体_GB2312" w:hAnsi="楷体_GB2312" w:hint="eastAsia"/>
                <w:spacing w:val="-6"/>
                <w:kern w:val="24"/>
              </w:rPr>
              <w:t>1037</w:t>
            </w:r>
          </w:p>
          <w:p w:rsidR="00CD2EF2" w:rsidRDefault="003F5178" w:rsidP="00BA1400">
            <w:pPr>
              <w:pStyle w:val="a1"/>
              <w:snapToGrid w:val="0"/>
              <w:spacing w:line="264" w:lineRule="auto"/>
              <w:ind w:firstLineChars="300" w:firstLine="702"/>
              <w:rPr>
                <w:rFonts w:ascii="楷体_GB2312" w:eastAsia="楷体_GB2312" w:hAnsi="楷体_GB2312"/>
                <w:spacing w:val="-6"/>
                <w:kern w:val="24"/>
              </w:rPr>
            </w:pPr>
            <w:r>
              <w:rPr>
                <w:rFonts w:ascii="楷体_GB2312" w:eastAsia="楷体_GB2312" w:hAnsi="楷体_GB2312" w:hint="eastAsia"/>
                <w:spacing w:val="-6"/>
                <w:kern w:val="24"/>
              </w:rPr>
              <w:t>项，引进外资</w:t>
            </w:r>
            <w:r>
              <w:rPr>
                <w:rFonts w:ascii="楷体_GB2312" w:eastAsia="楷体_GB2312" w:hAnsi="楷体_GB2312" w:hint="eastAsia"/>
                <w:spacing w:val="-6"/>
                <w:kern w:val="24"/>
              </w:rPr>
              <w:t>138.2</w:t>
            </w:r>
            <w:r>
              <w:rPr>
                <w:rFonts w:ascii="楷体_GB2312" w:eastAsia="楷体_GB2312" w:hAnsi="楷体_GB2312" w:hint="eastAsia"/>
                <w:spacing w:val="-6"/>
                <w:kern w:val="24"/>
              </w:rPr>
              <w:t>亿美元。</w:t>
            </w:r>
          </w:p>
          <w:p w:rsidR="00CD2EF2" w:rsidRDefault="003F5178" w:rsidP="00BA1400">
            <w:pPr>
              <w:pStyle w:val="a1"/>
              <w:tabs>
                <w:tab w:val="left" w:pos="628"/>
              </w:tabs>
              <w:snapToGrid w:val="0"/>
              <w:spacing w:line="264" w:lineRule="auto"/>
              <w:ind w:firstLineChars="200" w:firstLine="468"/>
              <w:rPr>
                <w:rFonts w:ascii="楷体_GB2312" w:eastAsia="楷体_GB2312" w:hAnsi="楷体_GB2312"/>
                <w:spacing w:val="-6"/>
                <w:kern w:val="24"/>
              </w:rPr>
            </w:pPr>
            <w:r>
              <w:rPr>
                <w:rFonts w:ascii="楷体_GB2312" w:eastAsia="楷体_GB2312" w:hAnsi="楷体_GB2312" w:hint="eastAsia"/>
                <w:spacing w:val="-6"/>
                <w:kern w:val="24"/>
              </w:rPr>
              <w:t>3.</w:t>
            </w:r>
            <w:r>
              <w:rPr>
                <w:rFonts w:ascii="楷体_GB2312" w:eastAsia="楷体_GB2312" w:hAnsi="楷体_GB2312" w:hint="eastAsia"/>
                <w:spacing w:val="-6"/>
                <w:kern w:val="24"/>
              </w:rPr>
              <w:t>剔除新冠肺炎疫情影响，以</w:t>
            </w:r>
            <w:r>
              <w:rPr>
                <w:rFonts w:ascii="楷体_GB2312" w:eastAsia="楷体_GB2312" w:hAnsi="楷体_GB2312" w:hint="eastAsia"/>
                <w:spacing w:val="-6"/>
                <w:kern w:val="24"/>
              </w:rPr>
              <w:t>2019</w:t>
            </w:r>
            <w:r>
              <w:rPr>
                <w:rFonts w:ascii="楷体_GB2312" w:eastAsia="楷体_GB2312" w:hAnsi="楷体_GB2312" w:hint="eastAsia"/>
                <w:spacing w:val="-6"/>
                <w:kern w:val="24"/>
              </w:rPr>
              <w:t>年增速计算，市属出口额指标完成“十三五”</w:t>
            </w:r>
          </w:p>
          <w:p w:rsidR="00CD2EF2" w:rsidRDefault="003F5178" w:rsidP="00BA1400">
            <w:pPr>
              <w:pStyle w:val="a1"/>
              <w:tabs>
                <w:tab w:val="left" w:pos="628"/>
              </w:tabs>
              <w:snapToGrid w:val="0"/>
              <w:spacing w:line="264" w:lineRule="auto"/>
              <w:ind w:firstLineChars="300" w:firstLine="702"/>
              <w:rPr>
                <w:rFonts w:eastAsia="仿宋_GB2312"/>
              </w:rPr>
            </w:pPr>
            <w:r>
              <w:rPr>
                <w:rFonts w:ascii="楷体_GB2312" w:eastAsia="楷体_GB2312" w:hAnsi="楷体_GB2312" w:hint="eastAsia"/>
                <w:spacing w:val="-6"/>
                <w:kern w:val="24"/>
              </w:rPr>
              <w:t>规划目标。</w:t>
            </w:r>
          </w:p>
        </w:tc>
      </w:tr>
    </w:tbl>
    <w:p w:rsidR="00CD2EF2" w:rsidRDefault="003F5178" w:rsidP="00BA1400">
      <w:pPr>
        <w:snapToGrid w:val="0"/>
        <w:spacing w:beforeLines="50" w:before="295" w:line="336" w:lineRule="auto"/>
        <w:ind w:firstLineChars="200" w:firstLine="628"/>
        <w:rPr>
          <w:rFonts w:ascii="仿宋_GB2312" w:hAnsi="仿宋_GB2312"/>
        </w:rPr>
      </w:pPr>
      <w:r>
        <w:rPr>
          <w:rFonts w:ascii="仿宋_GB2312" w:hAnsi="仿宋_GB2312" w:hint="eastAsia"/>
        </w:rPr>
        <w:t>总体来看，“十三五”时期杭州商务发展大部分指标已经完成，但发展不平衡不充分问题仍然存在：</w:t>
      </w:r>
      <w:r>
        <w:rPr>
          <w:rFonts w:ascii="仿宋_GB2312" w:hAnsi="仿宋_GB2312" w:hint="eastAsia"/>
        </w:rPr>
        <w:t>一是消费市场短板有待进一步补齐。线上线下消费融合水平不足，</w:t>
      </w:r>
      <w:r>
        <w:rPr>
          <w:rFonts w:ascii="仿宋_GB2312" w:hAnsi="仿宋_GB2312" w:hint="eastAsia"/>
        </w:rPr>
        <w:t>本地居民消费潜力未能完全释放。高端消费、特色消费供给水平有待提高，商业网点布局有待优化。</w:t>
      </w:r>
      <w:r>
        <w:rPr>
          <w:rFonts w:ascii="仿宋_GB2312" w:hAnsi="仿宋_GB2312" w:hint="eastAsia"/>
        </w:rPr>
        <w:t>二是对外开放水平有待进一步提升。</w:t>
      </w:r>
      <w:r>
        <w:rPr>
          <w:rFonts w:ascii="仿宋_GB2312" w:hAnsi="仿宋_GB2312" w:hint="eastAsia"/>
        </w:rPr>
        <w:t>金融业开放度不高，服务贸易开放度和竞争力有待增强</w:t>
      </w:r>
      <w:r>
        <w:rPr>
          <w:rFonts w:ascii="仿宋_GB2312" w:hAnsi="仿宋_GB2312" w:hint="eastAsia"/>
        </w:rPr>
        <w:t>。</w:t>
      </w:r>
      <w:r>
        <w:rPr>
          <w:rFonts w:ascii="仿宋_GB2312" w:hAnsi="仿宋_GB2312" w:hint="eastAsia"/>
        </w:rPr>
        <w:t>三是企业总体竞争力有</w:t>
      </w:r>
      <w:r>
        <w:rPr>
          <w:rFonts w:ascii="仿宋_GB2312" w:hAnsi="仿宋_GB2312" w:hint="eastAsia"/>
        </w:rPr>
        <w:lastRenderedPageBreak/>
        <w:t>待进一步加强。</w:t>
      </w:r>
      <w:r>
        <w:rPr>
          <w:rFonts w:ascii="仿宋_GB2312" w:hAnsi="仿宋_GB2312" w:hint="eastAsia"/>
        </w:rPr>
        <w:t>企业资金、技术、专业人才等要素较为缺乏，运营成本不断攀升。会展业与其他大中城市相比，场地规模较小且缺乏能够独立承接重大品牌会展项目或专业化运营大型会场展馆的龙头企业。</w:t>
      </w:r>
      <w:r>
        <w:rPr>
          <w:rFonts w:ascii="仿宋_GB2312" w:hAnsi="仿宋_GB2312" w:hint="eastAsia"/>
        </w:rPr>
        <w:t>四是贸易发展新动能有待进一步增强。</w:t>
      </w:r>
      <w:r>
        <w:rPr>
          <w:rFonts w:ascii="仿宋_GB2312" w:hAnsi="仿宋_GB2312" w:hint="eastAsia"/>
        </w:rPr>
        <w:t>数字贸易便利化水平有待提升</w:t>
      </w:r>
      <w:r>
        <w:rPr>
          <w:rFonts w:ascii="仿宋_GB2312" w:hAnsi="仿宋_GB2312" w:hint="eastAsia"/>
        </w:rPr>
        <w:t>，电子商务平台聚合引领作用尚未充分实现，跨境电商仓储物流效率有待提高。</w:t>
      </w:r>
      <w:r>
        <w:rPr>
          <w:rFonts w:ascii="仿宋_GB2312" w:hAnsi="仿宋_GB2312" w:hint="eastAsia"/>
        </w:rPr>
        <w:t>五是粮食安全保供体系有待进一步完善。</w:t>
      </w:r>
      <w:r>
        <w:rPr>
          <w:rFonts w:ascii="仿宋_GB2312" w:hAnsi="仿宋_GB2312" w:hint="eastAsia"/>
        </w:rPr>
        <w:t>目前，我市粮食自给率仅</w:t>
      </w:r>
      <w:r>
        <w:rPr>
          <w:rFonts w:ascii="仿宋_GB2312" w:hAnsi="仿宋_GB2312" w:hint="eastAsia"/>
        </w:rPr>
        <w:t>12.68%</w:t>
      </w:r>
      <w:r>
        <w:rPr>
          <w:rFonts w:ascii="仿宋_GB2312" w:hAnsi="仿宋_GB2312" w:hint="eastAsia"/>
        </w:rPr>
        <w:t>，粮食对外依存度持续加大，粮食食品安全风险和处置压力较大，粮食安全保供面临严峻挑战。</w:t>
      </w:r>
    </w:p>
    <w:p w:rsidR="00CD2EF2" w:rsidRDefault="003F5178" w:rsidP="00BA1400">
      <w:pPr>
        <w:snapToGrid w:val="0"/>
        <w:spacing w:line="336" w:lineRule="auto"/>
        <w:ind w:firstLineChars="200" w:firstLine="628"/>
        <w:rPr>
          <w:rFonts w:eastAsia="黑体"/>
        </w:rPr>
      </w:pPr>
      <w:bookmarkStart w:id="75" w:name="_Toc7303"/>
      <w:bookmarkStart w:id="76" w:name="_Toc21732"/>
      <w:bookmarkStart w:id="77" w:name="_Toc10719"/>
      <w:bookmarkStart w:id="78" w:name="_Toc15760"/>
      <w:bookmarkStart w:id="79" w:name="_Toc20876"/>
      <w:bookmarkStart w:id="80" w:name="_Toc1156"/>
      <w:bookmarkStart w:id="81" w:name="_Toc11499"/>
      <w:bookmarkStart w:id="82" w:name="_Toc27034"/>
      <w:bookmarkStart w:id="83" w:name="_Toc30903"/>
      <w:bookmarkStart w:id="84" w:name="_Toc28755"/>
      <w:bookmarkStart w:id="85" w:name="_Toc11890"/>
      <w:r>
        <w:rPr>
          <w:rFonts w:eastAsia="黑体" w:hint="eastAsia"/>
        </w:rPr>
        <w:t>二、“十四五”时期杭州商务面临形势</w:t>
      </w:r>
      <w:bookmarkEnd w:id="75"/>
      <w:bookmarkEnd w:id="76"/>
      <w:bookmarkEnd w:id="77"/>
      <w:bookmarkEnd w:id="78"/>
      <w:bookmarkEnd w:id="79"/>
      <w:bookmarkEnd w:id="80"/>
      <w:bookmarkEnd w:id="81"/>
      <w:bookmarkEnd w:id="82"/>
      <w:bookmarkEnd w:id="83"/>
      <w:bookmarkEnd w:id="84"/>
      <w:bookmarkEnd w:id="85"/>
    </w:p>
    <w:p w:rsidR="00CD2EF2" w:rsidRDefault="003F5178">
      <w:pPr>
        <w:snapToGrid w:val="0"/>
        <w:spacing w:line="336" w:lineRule="auto"/>
        <w:ind w:firstLineChars="200" w:firstLine="628"/>
        <w:rPr>
          <w:rFonts w:ascii="仿宋_GB2312" w:hAnsi="仿宋_GB2312"/>
        </w:rPr>
      </w:pPr>
      <w:bookmarkStart w:id="86" w:name="_Toc1741"/>
      <w:bookmarkStart w:id="87" w:name="_Toc31954"/>
      <w:bookmarkStart w:id="88" w:name="_Toc27959"/>
      <w:bookmarkStart w:id="89" w:name="_Toc21479"/>
      <w:bookmarkStart w:id="90" w:name="_Toc6366"/>
      <w:bookmarkStart w:id="91" w:name="_Toc18064"/>
      <w:bookmarkStart w:id="92" w:name="_Toc18662"/>
      <w:bookmarkStart w:id="93" w:name="_Toc17452"/>
      <w:bookmarkStart w:id="94" w:name="_Toc10730"/>
      <w:bookmarkStart w:id="95" w:name="_Toc8941"/>
      <w:bookmarkStart w:id="96" w:name="_Toc11214"/>
      <w:r>
        <w:rPr>
          <w:rFonts w:ascii="仿宋_GB2312" w:hAnsi="仿宋_GB2312" w:hint="eastAsia"/>
        </w:rPr>
        <w:t>“十四五”时期，杭州市商务发展面临的发展环境和内部条件的变化复杂而深刻。从发展环境看，新冠肺炎疫情冲击加速国际经贸格局重构，以国内大循环为主体、国内国际双循环相互促进的新发展格局正在加快形成，数字化改革全面推进，高质量发展建设共同富裕示范区为我省发展注入强劲动力。从内部条件来看，杭州市在全国战略地位日益提高，国际知名度和影响力持续提升，经济社会发展进入战略机遇期，自贸试验区杭州片区、国家级数字服务出口基地、全面深化服务贸易创新发展试点相继获批，</w:t>
      </w:r>
      <w:r>
        <w:rPr>
          <w:rFonts w:ascii="仿宋_GB2312" w:hAnsi="仿宋_GB2312" w:hint="eastAsia"/>
        </w:rPr>
        <w:t>2022</w:t>
      </w:r>
      <w:r>
        <w:rPr>
          <w:rFonts w:ascii="仿宋_GB2312" w:hAnsi="仿宋_GB2312" w:hint="eastAsia"/>
        </w:rPr>
        <w:t>年亚运会筹备工作扎实推进。但城市国际化水平仍然有待提升，</w:t>
      </w:r>
      <w:r>
        <w:rPr>
          <w:rFonts w:ascii="仿宋_GB2312" w:hAnsi="仿宋_GB2312" w:hint="eastAsia"/>
        </w:rPr>
        <w:t>参与国际分工合作竞争的优势不够明显，需要持续提升完善国际化公共服务和生活配套设施，更大力度引进国际化人才，进一步提升经济文化国际影响力，用“世界眼光”推动杭州建成</w:t>
      </w:r>
      <w:r>
        <w:rPr>
          <w:rFonts w:ascii="仿宋_GB2312" w:hAnsi="仿宋_GB2312" w:hint="eastAsia"/>
        </w:rPr>
        <w:lastRenderedPageBreak/>
        <w:t>更具“国际范”的大都市。</w:t>
      </w:r>
    </w:p>
    <w:p w:rsidR="00CD2EF2" w:rsidRDefault="003F5178" w:rsidP="00BA1400">
      <w:pPr>
        <w:snapToGrid w:val="0"/>
        <w:spacing w:line="336" w:lineRule="auto"/>
        <w:ind w:firstLineChars="200" w:firstLine="628"/>
        <w:rPr>
          <w:rFonts w:ascii="仿宋_GB2312" w:hAnsi="仿宋_GB2312"/>
        </w:rPr>
      </w:pPr>
      <w:bookmarkStart w:id="97" w:name="_Toc15726"/>
      <w:bookmarkStart w:id="98" w:name="_Toc6663"/>
      <w:bookmarkStart w:id="99" w:name="_Toc12780"/>
      <w:bookmarkStart w:id="100" w:name="_Toc16407"/>
      <w:bookmarkStart w:id="101" w:name="_Toc17041"/>
      <w:bookmarkStart w:id="102" w:name="_Toc8093"/>
      <w:bookmarkStart w:id="103" w:name="_Toc24935"/>
      <w:bookmarkStart w:id="104" w:name="_Toc27493"/>
      <w:bookmarkStart w:id="105" w:name="_Toc23445"/>
      <w:bookmarkStart w:id="106" w:name="_Toc28222"/>
      <w:bookmarkStart w:id="107" w:name="_Toc6640"/>
      <w:bookmarkStart w:id="108" w:name="_Toc464202781"/>
      <w:bookmarkStart w:id="109" w:name="_Toc475008318"/>
      <w:bookmarkEnd w:id="86"/>
      <w:bookmarkEnd w:id="87"/>
      <w:bookmarkEnd w:id="88"/>
      <w:bookmarkEnd w:id="89"/>
      <w:bookmarkEnd w:id="90"/>
      <w:bookmarkEnd w:id="91"/>
      <w:bookmarkEnd w:id="92"/>
      <w:bookmarkEnd w:id="93"/>
      <w:bookmarkEnd w:id="94"/>
      <w:bookmarkEnd w:id="95"/>
      <w:bookmarkEnd w:id="96"/>
      <w:r>
        <w:rPr>
          <w:rFonts w:ascii="黑体" w:eastAsia="黑体" w:hAnsi="黑体" w:hint="eastAsia"/>
        </w:rPr>
        <w:t>三、</w:t>
      </w:r>
      <w:bookmarkEnd w:id="97"/>
      <w:bookmarkEnd w:id="98"/>
      <w:bookmarkEnd w:id="99"/>
      <w:bookmarkEnd w:id="100"/>
      <w:bookmarkEnd w:id="101"/>
      <w:bookmarkEnd w:id="102"/>
      <w:bookmarkEnd w:id="103"/>
      <w:bookmarkEnd w:id="104"/>
      <w:bookmarkEnd w:id="105"/>
      <w:bookmarkEnd w:id="106"/>
      <w:bookmarkEnd w:id="107"/>
      <w:r>
        <w:rPr>
          <w:rFonts w:ascii="黑体" w:eastAsia="黑体" w:hAnsi="黑体" w:hint="eastAsia"/>
        </w:rPr>
        <w:t>总体要求</w:t>
      </w:r>
    </w:p>
    <w:p w:rsidR="00CD2EF2" w:rsidRDefault="003F5178" w:rsidP="00BA1400">
      <w:pPr>
        <w:snapToGrid w:val="0"/>
        <w:spacing w:line="336" w:lineRule="auto"/>
        <w:ind w:firstLineChars="200" w:firstLine="628"/>
        <w:rPr>
          <w:rFonts w:ascii="楷体_GB2312" w:eastAsia="楷体_GB2312" w:hAnsi="楷体_GB2312"/>
        </w:rPr>
      </w:pPr>
      <w:bookmarkStart w:id="110" w:name="_Toc13589"/>
      <w:bookmarkStart w:id="111" w:name="_Toc20081"/>
      <w:bookmarkStart w:id="112" w:name="_Toc13440"/>
      <w:bookmarkStart w:id="113" w:name="_Toc14430"/>
      <w:bookmarkStart w:id="114" w:name="_Toc7391"/>
      <w:bookmarkStart w:id="115" w:name="_Toc21499"/>
      <w:bookmarkStart w:id="116" w:name="_Toc12667"/>
      <w:bookmarkStart w:id="117" w:name="_Toc28441"/>
      <w:bookmarkStart w:id="118" w:name="_Toc18166"/>
      <w:bookmarkStart w:id="119" w:name="_Toc2166"/>
      <w:bookmarkStart w:id="120" w:name="_Toc4967"/>
      <w:r>
        <w:rPr>
          <w:rFonts w:ascii="楷体_GB2312" w:eastAsia="楷体_GB2312" w:hAnsi="楷体_GB2312" w:hint="eastAsia"/>
        </w:rPr>
        <w:t>（一）指导思想</w:t>
      </w:r>
      <w:bookmarkEnd w:id="110"/>
      <w:bookmarkEnd w:id="111"/>
      <w:bookmarkEnd w:id="112"/>
      <w:bookmarkEnd w:id="113"/>
      <w:bookmarkEnd w:id="114"/>
      <w:bookmarkEnd w:id="115"/>
      <w:bookmarkEnd w:id="116"/>
      <w:bookmarkEnd w:id="117"/>
      <w:bookmarkEnd w:id="118"/>
      <w:bookmarkEnd w:id="119"/>
      <w:bookmarkEnd w:id="120"/>
      <w:r>
        <w:rPr>
          <w:rFonts w:ascii="楷体_GB2312" w:eastAsia="楷体_GB2312" w:hAnsi="楷体_GB2312" w:hint="eastAsia"/>
        </w:rPr>
        <w:t>。</w:t>
      </w:r>
    </w:p>
    <w:p w:rsidR="00CD2EF2" w:rsidRDefault="003F5178" w:rsidP="00BA1400">
      <w:pPr>
        <w:snapToGrid w:val="0"/>
        <w:spacing w:line="336" w:lineRule="auto"/>
        <w:ind w:firstLineChars="200" w:firstLine="628"/>
      </w:pPr>
      <w:r>
        <w:rPr>
          <w:rFonts w:ascii="仿宋_GB2312" w:hAnsi="仿宋_GB2312" w:hint="eastAsia"/>
        </w:rPr>
        <w:t>高举习近平新时代中国特色社会主义思想伟大旗帜，深入贯彻党的十九大和十九届二中、三中、四中、五中、六中全会精神，坚持新发展理念，构建新发展格局，以推动高质量发展为主题，以深化供给侧结构性改革为主线，忠实</w:t>
      </w:r>
      <w:proofErr w:type="gramStart"/>
      <w:r>
        <w:rPr>
          <w:rFonts w:ascii="仿宋_GB2312" w:hAnsi="仿宋_GB2312" w:hint="eastAsia"/>
        </w:rPr>
        <w:t>践行</w:t>
      </w:r>
      <w:proofErr w:type="gramEnd"/>
      <w:r>
        <w:rPr>
          <w:rFonts w:ascii="仿宋_GB2312" w:hAnsi="仿宋_GB2312" w:hint="eastAsia"/>
        </w:rPr>
        <w:t>“八八战略”，按照“四个杭州”“四个一流”要求，在构建国内大循环为主体、国内国际双循环相</w:t>
      </w:r>
      <w:r>
        <w:rPr>
          <w:rFonts w:ascii="仿宋_GB2312" w:hAnsi="仿宋_GB2312" w:hint="eastAsia"/>
        </w:rPr>
        <w:t>互促进的新发展格局中担当使命，紧紧围绕“数智杭州·宜居天堂”的发展导向，打造“数智商</w:t>
      </w:r>
      <w:proofErr w:type="gramStart"/>
      <w:r>
        <w:rPr>
          <w:rFonts w:ascii="仿宋_GB2312" w:hAnsi="仿宋_GB2312" w:hint="eastAsia"/>
        </w:rPr>
        <w:t>务</w:t>
      </w:r>
      <w:proofErr w:type="gramEnd"/>
      <w:r>
        <w:rPr>
          <w:rFonts w:ascii="仿宋_GB2312" w:hAnsi="仿宋_GB2312" w:hint="eastAsia"/>
        </w:rPr>
        <w:t>·开放高地”，着力推进商务高质量、数字化、现代化发展，着力推进消费流通迈上新台阶，着力推进开放型经济体系建设，着力构建现代化粮食和物资储备体系，奋力展现“重要窗口”头雁风采，为杭州争当</w:t>
      </w:r>
      <w:r>
        <w:rPr>
          <w:rFonts w:ascii="仿宋_GB2312" w:hAnsi="仿宋_GB2312" w:hint="eastAsia"/>
        </w:rPr>
        <w:t>浙江高质量发展建设</w:t>
      </w:r>
      <w:r>
        <w:rPr>
          <w:rFonts w:ascii="仿宋_GB2312" w:hAnsi="仿宋_GB2312" w:hint="eastAsia"/>
        </w:rPr>
        <w:t>共同富裕示范区城市范例</w:t>
      </w:r>
      <w:proofErr w:type="gramStart"/>
      <w:r>
        <w:rPr>
          <w:rFonts w:ascii="仿宋_GB2312" w:hAnsi="仿宋_GB2312" w:hint="eastAsia"/>
        </w:rPr>
        <w:t>作出</w:t>
      </w:r>
      <w:proofErr w:type="gramEnd"/>
      <w:r>
        <w:rPr>
          <w:rFonts w:ascii="仿宋_GB2312" w:hAnsi="仿宋_GB2312" w:hint="eastAsia"/>
        </w:rPr>
        <w:t>商务领域更大贡献。</w:t>
      </w:r>
    </w:p>
    <w:p w:rsidR="00CD2EF2" w:rsidRDefault="003F5178" w:rsidP="00BA1400">
      <w:pPr>
        <w:snapToGrid w:val="0"/>
        <w:spacing w:line="336" w:lineRule="auto"/>
        <w:ind w:firstLineChars="200" w:firstLine="628"/>
        <w:rPr>
          <w:rFonts w:eastAsia="楷体_GB2312"/>
        </w:rPr>
      </w:pPr>
      <w:bookmarkStart w:id="121" w:name="_Toc23356"/>
      <w:bookmarkStart w:id="122" w:name="_Toc18613"/>
      <w:bookmarkStart w:id="123" w:name="_Toc22207"/>
      <w:bookmarkStart w:id="124" w:name="_Toc13125"/>
      <w:bookmarkStart w:id="125" w:name="_Toc2075"/>
      <w:bookmarkStart w:id="126" w:name="_Toc15183"/>
      <w:bookmarkStart w:id="127" w:name="_Toc18799"/>
      <w:bookmarkStart w:id="128" w:name="_Toc7019"/>
      <w:bookmarkStart w:id="129" w:name="_Toc27246"/>
      <w:bookmarkStart w:id="130" w:name="_Toc7049"/>
      <w:bookmarkStart w:id="131" w:name="_Toc7060"/>
      <w:r>
        <w:rPr>
          <w:rFonts w:eastAsia="楷体_GB2312" w:hint="eastAsia"/>
        </w:rPr>
        <w:t>（二）基本原则</w:t>
      </w:r>
      <w:bookmarkEnd w:id="121"/>
      <w:bookmarkEnd w:id="122"/>
      <w:bookmarkEnd w:id="123"/>
      <w:bookmarkEnd w:id="124"/>
      <w:bookmarkEnd w:id="125"/>
      <w:bookmarkEnd w:id="126"/>
      <w:bookmarkEnd w:id="127"/>
      <w:bookmarkEnd w:id="128"/>
      <w:bookmarkEnd w:id="129"/>
      <w:bookmarkEnd w:id="130"/>
      <w:bookmarkEnd w:id="131"/>
      <w:r>
        <w:rPr>
          <w:rFonts w:eastAsia="楷体_GB2312" w:hint="eastAsia"/>
        </w:rPr>
        <w:t>。</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坚持深化改革，扩大开放。</w:t>
      </w:r>
      <w:r>
        <w:rPr>
          <w:rFonts w:ascii="仿宋_GB2312" w:hAnsi="仿宋_GB2312" w:hint="eastAsia"/>
        </w:rPr>
        <w:t>积极参与“一带一路”建设，加快构建国内国际双循环格局。以长三角一体化、自由贸易试验区建设、全面深化服务贸易创新发展试点等战略为抓手，</w:t>
      </w:r>
      <w:r>
        <w:rPr>
          <w:rFonts w:ascii="仿宋_GB2312" w:hAnsi="仿宋_GB2312" w:hint="eastAsia"/>
        </w:rPr>
        <w:t>全面扩大对外开放，培育国际合作和竞争新优势，以开放促改革、促发展，不断在制度建设方面取得新成果。</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w:t>
      </w:r>
      <w:r>
        <w:rPr>
          <w:rFonts w:ascii="仿宋_GB2312" w:hAnsi="仿宋_GB2312" w:hint="eastAsia"/>
        </w:rPr>
        <w:t>坚持创新引领，数字赋能。</w:t>
      </w:r>
      <w:r>
        <w:rPr>
          <w:rFonts w:ascii="仿宋_GB2312" w:hAnsi="仿宋_GB2312" w:hint="eastAsia"/>
        </w:rPr>
        <w:t>坚持创新导向，充分发挥杭州</w:t>
      </w:r>
      <w:r>
        <w:rPr>
          <w:rFonts w:ascii="仿宋_GB2312" w:hAnsi="仿宋_GB2312" w:hint="eastAsia"/>
        </w:rPr>
        <w:lastRenderedPageBreak/>
        <w:t>数字经济先发优势，加快传统商业转型升级、商务数字化应用，优化平台体制机制。</w:t>
      </w:r>
      <w:r>
        <w:rPr>
          <w:rFonts w:ascii="仿宋_GB2312" w:hAnsi="仿宋_GB2312" w:hint="eastAsia"/>
        </w:rPr>
        <w:t>全面深化</w:t>
      </w:r>
      <w:r>
        <w:rPr>
          <w:rFonts w:ascii="仿宋_GB2312" w:hAnsi="仿宋_GB2312" w:hint="eastAsia"/>
        </w:rPr>
        <w:t>数字化改革，</w:t>
      </w:r>
      <w:r>
        <w:rPr>
          <w:rFonts w:ascii="仿宋_GB2312" w:hAnsi="仿宋_GB2312" w:hint="eastAsia"/>
        </w:rPr>
        <w:t>大力发展数字贸易，加快新技术、新业态、新模式发展，推动商务发展由要素驱动向创新驱动转变，提高杭州产品与服务的国际竞争力和影响力。</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坚持外联内拓，融合发展。</w:t>
      </w:r>
      <w:r>
        <w:rPr>
          <w:rFonts w:ascii="仿宋_GB2312" w:hAnsi="仿宋_GB2312" w:hint="eastAsia"/>
        </w:rPr>
        <w:t>全面推进国际经贸合作，促进国内国际要素有序自由流动、资源高效配置、市场深度融合。全面推进对内开放，融入长三角一体化发展和东西部协作发展，增强区域战略节点功能，强化与重点城市协同联动。推动贸易和产业、货物贸易和服务贸易、进口和出口协同发展。促进贸易线上线下融合、境内境外联动发展。</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坚持系统观念，安全发展。</w:t>
      </w:r>
      <w:r>
        <w:rPr>
          <w:rFonts w:ascii="仿宋_GB2312" w:hAnsi="仿宋_GB2312" w:hint="eastAsia"/>
        </w:rPr>
        <w:t>注重统筹发展，坚持“整体智治、唯实惟先”理念，加强全局性谋划、整体性推进。坚持底线思维，加快构建应急保供联动机制，充分保障粮食等生活必需品安全稳定供应。增强风险意识，完善应对经贸摩擦机制，提高重大风险预警</w:t>
      </w:r>
      <w:r>
        <w:rPr>
          <w:rFonts w:ascii="仿宋_GB2312" w:hAnsi="仿宋_GB2312" w:hint="eastAsia"/>
        </w:rPr>
        <w:t>防范和应急响应处置能力。</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5.</w:t>
      </w:r>
      <w:r>
        <w:rPr>
          <w:rFonts w:ascii="仿宋_GB2312" w:hAnsi="仿宋_GB2312" w:hint="eastAsia"/>
        </w:rPr>
        <w:t>坚持民生为本，共治共享。</w:t>
      </w:r>
      <w:r>
        <w:rPr>
          <w:rFonts w:ascii="仿宋_GB2312" w:hAnsi="仿宋_GB2312" w:hint="eastAsia"/>
        </w:rPr>
        <w:t>坚持以人民为中心，聚焦民生福祉，持续强化商务服务民生功能，切实解决好事</w:t>
      </w:r>
      <w:proofErr w:type="gramStart"/>
      <w:r>
        <w:rPr>
          <w:rFonts w:ascii="仿宋_GB2312" w:hAnsi="仿宋_GB2312" w:hint="eastAsia"/>
        </w:rPr>
        <w:t>关群众</w:t>
      </w:r>
      <w:proofErr w:type="gramEnd"/>
      <w:r>
        <w:rPr>
          <w:rFonts w:ascii="仿宋_GB2312" w:hAnsi="仿宋_GB2312" w:hint="eastAsia"/>
        </w:rPr>
        <w:t>切身利益的问题。全面提</w:t>
      </w:r>
      <w:r>
        <w:rPr>
          <w:rFonts w:ascii="仿宋_GB2312" w:hAnsi="仿宋_GB2312" w:hint="eastAsia"/>
        </w:rPr>
        <w:t>升商务治理现代化水平，</w:t>
      </w:r>
      <w:r>
        <w:rPr>
          <w:rFonts w:ascii="仿宋_GB2312" w:hAnsi="仿宋_GB2312" w:hint="eastAsia"/>
        </w:rPr>
        <w:t>不断满足人民群众美好生活需要，</w:t>
      </w:r>
      <w:r>
        <w:rPr>
          <w:rFonts w:ascii="仿宋_GB2312" w:hAnsi="仿宋_GB2312" w:hint="eastAsia"/>
        </w:rPr>
        <w:t>探索推进共同富裕的体制机制，形成可复制可推广的经验，努力打造人民幸福美好家园。</w:t>
      </w:r>
    </w:p>
    <w:p w:rsidR="00CD2EF2" w:rsidRDefault="003F5178" w:rsidP="00BA1400">
      <w:pPr>
        <w:snapToGrid w:val="0"/>
        <w:spacing w:line="336" w:lineRule="auto"/>
        <w:ind w:firstLineChars="200" w:firstLine="628"/>
        <w:rPr>
          <w:rFonts w:eastAsia="楷体_GB2312"/>
        </w:rPr>
      </w:pPr>
      <w:bookmarkStart w:id="132" w:name="_Toc17466"/>
      <w:bookmarkStart w:id="133" w:name="_Toc23077"/>
      <w:bookmarkStart w:id="134" w:name="_Toc5413"/>
      <w:bookmarkStart w:id="135" w:name="_Toc12265"/>
      <w:bookmarkStart w:id="136" w:name="_Toc7712"/>
      <w:bookmarkStart w:id="137" w:name="_Toc21718"/>
      <w:bookmarkStart w:id="138" w:name="_Toc26186"/>
      <w:bookmarkStart w:id="139" w:name="_Toc21637"/>
      <w:bookmarkStart w:id="140" w:name="_Toc12104"/>
      <w:bookmarkStart w:id="141" w:name="_Toc16424"/>
      <w:bookmarkStart w:id="142" w:name="_Toc28330"/>
      <w:r>
        <w:rPr>
          <w:rFonts w:eastAsia="楷体_GB2312" w:hint="eastAsia"/>
        </w:rPr>
        <w:t>（三）主要目标</w:t>
      </w:r>
      <w:bookmarkEnd w:id="132"/>
      <w:bookmarkEnd w:id="133"/>
      <w:bookmarkEnd w:id="134"/>
      <w:bookmarkEnd w:id="135"/>
      <w:bookmarkEnd w:id="136"/>
      <w:bookmarkEnd w:id="137"/>
      <w:bookmarkEnd w:id="138"/>
      <w:bookmarkEnd w:id="139"/>
      <w:bookmarkEnd w:id="140"/>
      <w:bookmarkEnd w:id="141"/>
      <w:bookmarkEnd w:id="142"/>
      <w:r>
        <w:rPr>
          <w:rFonts w:eastAsia="楷体_GB2312" w:hint="eastAsia"/>
        </w:rPr>
        <w:t>。</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到</w:t>
      </w:r>
      <w:r>
        <w:rPr>
          <w:rFonts w:ascii="仿宋_GB2312" w:hAnsi="仿宋_GB2312" w:hint="eastAsia"/>
        </w:rPr>
        <w:t>2025</w:t>
      </w:r>
      <w:r>
        <w:rPr>
          <w:rFonts w:ascii="仿宋_GB2312" w:hAnsi="仿宋_GB2312" w:hint="eastAsia"/>
        </w:rPr>
        <w:t>年，商务发展质量和效益进一步提升，内外开放、竞</w:t>
      </w:r>
      <w:r>
        <w:rPr>
          <w:rFonts w:ascii="仿宋_GB2312" w:hAnsi="仿宋_GB2312" w:hint="eastAsia"/>
        </w:rPr>
        <w:lastRenderedPageBreak/>
        <w:t>争有序、安全高效、城乡一体的现代流通体系更加完善，粮食仓储设施、供应链、智慧生产体系、应急供应体制机制不断健全，率先建成</w:t>
      </w:r>
      <w:r>
        <w:rPr>
          <w:rFonts w:ascii="仿宋_GB2312" w:hAnsi="仿宋_GB2312" w:hint="eastAsia"/>
        </w:rPr>
        <w:t>新型消</w:t>
      </w:r>
      <w:r>
        <w:rPr>
          <w:rFonts w:ascii="仿宋_GB2312" w:hAnsi="仿宋_GB2312" w:hint="eastAsia"/>
        </w:rPr>
        <w:t>费中心城市；开放型经济体制机</w:t>
      </w:r>
      <w:r>
        <w:rPr>
          <w:rFonts w:ascii="仿宋_GB2312" w:hAnsi="仿宋_GB2312" w:hint="eastAsia"/>
        </w:rPr>
        <w:t>制不断完善，经贸规模稳步增长、结构持续优化，自贸区平台引领作用进一步突出，商务现代化治理水平进一步提升，率先形成双循环区域枢纽城市，成为引领全省商务高质量发展先行示范区。</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——商贸流通水平迈上新台阶。</w:t>
      </w:r>
      <w:r>
        <w:rPr>
          <w:rFonts w:ascii="仿宋_GB2312" w:hAnsi="仿宋_GB2312" w:hint="eastAsia"/>
        </w:rPr>
        <w:t>到</w:t>
      </w:r>
      <w:r>
        <w:rPr>
          <w:rFonts w:ascii="仿宋_GB2312" w:hAnsi="仿宋_GB2312" w:hint="eastAsia"/>
        </w:rPr>
        <w:t>2025</w:t>
      </w:r>
      <w:r>
        <w:rPr>
          <w:rFonts w:ascii="仿宋_GB2312" w:hAnsi="仿宋_GB2312" w:hint="eastAsia"/>
        </w:rPr>
        <w:t>年，全市社会消费品零售总额约占全省的</w:t>
      </w:r>
      <w:r>
        <w:rPr>
          <w:rFonts w:ascii="仿宋_GB2312" w:hAnsi="仿宋_GB2312" w:hint="eastAsia"/>
        </w:rPr>
        <w:t>25%</w:t>
      </w:r>
      <w:r>
        <w:rPr>
          <w:rFonts w:ascii="仿宋_GB2312" w:hAnsi="仿宋_GB2312" w:hint="eastAsia"/>
        </w:rPr>
        <w:t>，网络零售额约占全省的</w:t>
      </w:r>
      <w:r>
        <w:rPr>
          <w:rFonts w:ascii="仿宋_GB2312" w:hAnsi="仿宋_GB2312" w:hint="eastAsia"/>
        </w:rPr>
        <w:t>40%</w:t>
      </w:r>
      <w:r>
        <w:rPr>
          <w:rFonts w:ascii="仿宋_GB2312" w:hAnsi="仿宋_GB2312" w:hint="eastAsia"/>
        </w:rPr>
        <w:t>。全面建成“数字消费之都”，持续提升杭州“数智新消费”热度，打响“</w:t>
      </w:r>
      <w:r>
        <w:rPr>
          <w:rFonts w:ascii="仿宋_GB2312" w:hAnsi="仿宋_GB2312" w:hint="eastAsia"/>
        </w:rPr>
        <w:t>数智消费·共富生活</w:t>
      </w:r>
      <w:r>
        <w:rPr>
          <w:rFonts w:ascii="仿宋_GB2312" w:hAnsi="仿宋_GB2312" w:hint="eastAsia"/>
        </w:rPr>
        <w:t>”品牌，高水平建设</w:t>
      </w:r>
      <w:r>
        <w:rPr>
          <w:rFonts w:ascii="仿宋_GB2312" w:hAnsi="仿宋_GB2312" w:hint="eastAsia"/>
        </w:rPr>
        <w:t>新型</w:t>
      </w:r>
      <w:r>
        <w:rPr>
          <w:rFonts w:ascii="仿宋_GB2312" w:hAnsi="仿宋_GB2312" w:hint="eastAsia"/>
        </w:rPr>
        <w:t>消费中心城市。构建国内大循环、畅通内外双循环的关键枢纽地位不断提升，对全省的影响和带动作用进一步增强。</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——贸易高质量发展开创</w:t>
      </w:r>
      <w:r>
        <w:rPr>
          <w:rFonts w:ascii="仿宋_GB2312" w:hAnsi="仿宋_GB2312" w:hint="eastAsia"/>
        </w:rPr>
        <w:t>新局面。</w:t>
      </w:r>
      <w:r>
        <w:rPr>
          <w:rFonts w:ascii="仿宋_GB2312" w:hAnsi="仿宋_GB2312" w:hint="eastAsia"/>
        </w:rPr>
        <w:t>到</w:t>
      </w:r>
      <w:r>
        <w:rPr>
          <w:rFonts w:ascii="仿宋_GB2312" w:hAnsi="仿宋_GB2312" w:hint="eastAsia"/>
        </w:rPr>
        <w:t>2025</w:t>
      </w:r>
      <w:r>
        <w:rPr>
          <w:rFonts w:ascii="仿宋_GB2312" w:hAnsi="仿宋_GB2312" w:hint="eastAsia"/>
        </w:rPr>
        <w:t>年，全市货物贸易进出口总额达</w:t>
      </w:r>
      <w:r>
        <w:rPr>
          <w:rFonts w:ascii="仿宋_GB2312" w:hAnsi="仿宋_GB2312" w:hint="eastAsia"/>
        </w:rPr>
        <w:t>7000</w:t>
      </w:r>
      <w:r>
        <w:rPr>
          <w:rFonts w:ascii="仿宋_GB2312" w:hAnsi="仿宋_GB2312" w:hint="eastAsia"/>
        </w:rPr>
        <w:t>亿元，年均增长</w:t>
      </w:r>
      <w:r>
        <w:rPr>
          <w:rFonts w:ascii="仿宋_GB2312" w:hAnsi="仿宋_GB2312" w:hint="eastAsia"/>
        </w:rPr>
        <w:t>5.0%</w:t>
      </w:r>
      <w:r>
        <w:rPr>
          <w:rFonts w:ascii="仿宋_GB2312" w:hAnsi="仿宋_GB2312" w:hint="eastAsia"/>
        </w:rPr>
        <w:t>。</w:t>
      </w:r>
      <w:r>
        <w:rPr>
          <w:rFonts w:ascii="仿宋_GB2312" w:hAnsi="仿宋_GB2312" w:hint="eastAsia"/>
          <w:color w:val="111F2C"/>
          <w:shd w:val="clear" w:color="auto" w:fill="FFFFFF"/>
        </w:rPr>
        <w:t>实施“</w:t>
      </w:r>
      <w:r>
        <w:rPr>
          <w:rFonts w:ascii="仿宋_GB2312" w:hAnsi="仿宋_GB2312" w:hint="eastAsia"/>
          <w:color w:val="111F2C"/>
          <w:shd w:val="clear" w:color="auto" w:fill="FFFFFF"/>
        </w:rPr>
        <w:t>55155</w:t>
      </w:r>
      <w:r>
        <w:rPr>
          <w:rFonts w:ascii="仿宋_GB2312" w:hAnsi="仿宋_GB2312" w:hint="eastAsia"/>
          <w:color w:val="111F2C"/>
          <w:shd w:val="clear" w:color="auto" w:fill="FFFFFF"/>
        </w:rPr>
        <w:t>工程”——在全面深化服务贸易创新发展试点评估中力争全国前</w:t>
      </w:r>
      <w:r>
        <w:rPr>
          <w:rFonts w:ascii="仿宋_GB2312" w:hAnsi="仿宋_GB2312" w:hint="eastAsia"/>
          <w:color w:val="111F2C"/>
          <w:shd w:val="clear" w:color="auto" w:fill="FFFFFF"/>
        </w:rPr>
        <w:t>5</w:t>
      </w:r>
      <w:r>
        <w:rPr>
          <w:rFonts w:ascii="仿宋_GB2312" w:hAnsi="仿宋_GB2312" w:hint="eastAsia"/>
          <w:color w:val="111F2C"/>
          <w:shd w:val="clear" w:color="auto" w:fill="FFFFFF"/>
        </w:rPr>
        <w:t>位，</w:t>
      </w:r>
      <w:r>
        <w:rPr>
          <w:rFonts w:ascii="仿宋_GB2312" w:hAnsi="仿宋_GB2312" w:hint="eastAsia"/>
          <w:color w:val="111F2C"/>
          <w:shd w:val="clear" w:color="auto" w:fill="FFFFFF"/>
        </w:rPr>
        <w:t>5</w:t>
      </w:r>
      <w:r>
        <w:rPr>
          <w:rFonts w:ascii="仿宋_GB2312" w:hAnsi="仿宋_GB2312" w:hint="eastAsia"/>
          <w:color w:val="111F2C"/>
          <w:shd w:val="clear" w:color="auto" w:fill="FFFFFF"/>
        </w:rPr>
        <w:t>条杭州经验、案例在全国复制推广，打造</w:t>
      </w:r>
      <w:r>
        <w:rPr>
          <w:rFonts w:ascii="仿宋_GB2312" w:hAnsi="仿宋_GB2312" w:hint="eastAsia"/>
          <w:color w:val="111F2C"/>
          <w:shd w:val="clear" w:color="auto" w:fill="FFFFFF"/>
        </w:rPr>
        <w:t>10</w:t>
      </w:r>
      <w:r>
        <w:rPr>
          <w:rFonts w:ascii="仿宋_GB2312" w:hAnsi="仿宋_GB2312" w:hint="eastAsia"/>
          <w:color w:val="111F2C"/>
          <w:shd w:val="clear" w:color="auto" w:fill="FFFFFF"/>
        </w:rPr>
        <w:t>个服务贸易示范园区，培育</w:t>
      </w:r>
      <w:r>
        <w:rPr>
          <w:rFonts w:ascii="仿宋_GB2312" w:hAnsi="仿宋_GB2312" w:hint="eastAsia"/>
          <w:color w:val="111F2C"/>
          <w:shd w:val="clear" w:color="auto" w:fill="FFFFFF"/>
        </w:rPr>
        <w:t>50</w:t>
      </w:r>
      <w:r>
        <w:rPr>
          <w:rFonts w:ascii="仿宋_GB2312" w:hAnsi="仿宋_GB2312" w:hint="eastAsia"/>
          <w:color w:val="111F2C"/>
          <w:shd w:val="clear" w:color="auto" w:fill="FFFFFF"/>
        </w:rPr>
        <w:t>家示范企业、</w:t>
      </w:r>
      <w:r>
        <w:rPr>
          <w:rFonts w:ascii="仿宋_GB2312" w:hAnsi="仿宋_GB2312" w:hint="eastAsia"/>
          <w:color w:val="111F2C"/>
          <w:shd w:val="clear" w:color="auto" w:fill="FFFFFF"/>
        </w:rPr>
        <w:t>50</w:t>
      </w:r>
      <w:r>
        <w:rPr>
          <w:rFonts w:ascii="仿宋_GB2312" w:hAnsi="仿宋_GB2312" w:hint="eastAsia"/>
          <w:color w:val="111F2C"/>
          <w:shd w:val="clear" w:color="auto" w:fill="FFFFFF"/>
        </w:rPr>
        <w:t>家成长型企业</w:t>
      </w:r>
      <w:r>
        <w:rPr>
          <w:rFonts w:ascii="仿宋_GB2312" w:hAnsi="仿宋_GB2312" w:hint="eastAsia"/>
        </w:rPr>
        <w:t>。服务贸易进出口总额突破</w:t>
      </w:r>
      <w:r>
        <w:rPr>
          <w:rFonts w:ascii="仿宋_GB2312" w:hAnsi="仿宋_GB2312" w:hint="eastAsia"/>
        </w:rPr>
        <w:t>3647</w:t>
      </w:r>
      <w:r>
        <w:rPr>
          <w:rFonts w:ascii="仿宋_GB2312" w:hAnsi="仿宋_GB2312" w:hint="eastAsia"/>
        </w:rPr>
        <w:t>亿元，年均增长</w:t>
      </w:r>
      <w:r>
        <w:rPr>
          <w:rFonts w:ascii="仿宋_GB2312" w:hAnsi="仿宋_GB2312" w:hint="eastAsia"/>
        </w:rPr>
        <w:t>7.0%</w:t>
      </w:r>
      <w:r>
        <w:rPr>
          <w:rFonts w:ascii="仿宋_GB2312" w:hAnsi="仿宋_GB2312" w:hint="eastAsia"/>
        </w:rPr>
        <w:t>。全面建成“跨境电</w:t>
      </w:r>
      <w:r>
        <w:rPr>
          <w:rFonts w:ascii="仿宋_GB2312" w:hAnsi="仿宋_GB2312" w:hint="eastAsia"/>
        </w:rPr>
        <w:t>商之都”。外贸结构进一步优化，对外贸易竞争力稳步提升，高新技术产品出口规模和比重明显提高，数字服务出口占服务贸易出口总额的比重达到</w:t>
      </w:r>
      <w:r>
        <w:rPr>
          <w:rFonts w:ascii="仿宋_GB2312" w:hAnsi="仿宋_GB2312" w:hint="eastAsia"/>
        </w:rPr>
        <w:t>70%</w:t>
      </w:r>
      <w:r>
        <w:rPr>
          <w:rFonts w:ascii="仿宋_GB2312" w:hAnsi="仿宋_GB2312" w:hint="eastAsia"/>
        </w:rPr>
        <w:t>。</w:t>
      </w:r>
    </w:p>
    <w:p w:rsidR="00CD2EF2" w:rsidRDefault="003F5178" w:rsidP="00BA1400">
      <w:pPr>
        <w:snapToGrid w:val="0"/>
        <w:spacing w:line="336" w:lineRule="auto"/>
        <w:ind w:firstLineChars="200" w:firstLine="640"/>
        <w:rPr>
          <w:rFonts w:ascii="仿宋_GB2312" w:hAnsi="仿宋_GB2312"/>
        </w:rPr>
      </w:pPr>
      <w:r>
        <w:rPr>
          <w:rFonts w:ascii="仿宋_GB2312" w:hAnsi="仿宋_GB2312" w:hint="eastAsia"/>
          <w:spacing w:val="-3"/>
        </w:rPr>
        <w:t>——国际高端要素汇聚新动能。</w:t>
      </w:r>
      <w:r>
        <w:rPr>
          <w:rFonts w:ascii="仿宋_GB2312" w:hAnsi="仿宋_GB2312" w:hint="eastAsia"/>
          <w:spacing w:val="-3"/>
        </w:rPr>
        <w:t>到</w:t>
      </w:r>
      <w:r>
        <w:rPr>
          <w:rFonts w:ascii="仿宋_GB2312" w:hAnsi="仿宋_GB2312" w:hint="eastAsia"/>
          <w:spacing w:val="-3"/>
        </w:rPr>
        <w:t>2025</w:t>
      </w:r>
      <w:r>
        <w:rPr>
          <w:rFonts w:ascii="仿宋_GB2312" w:hAnsi="仿宋_GB2312" w:hint="eastAsia"/>
          <w:spacing w:val="-3"/>
        </w:rPr>
        <w:t>年，数字经济新产</w:t>
      </w:r>
      <w:r>
        <w:rPr>
          <w:rFonts w:ascii="仿宋_GB2312" w:hAnsi="仿宋_GB2312" w:hint="eastAsia"/>
          <w:spacing w:val="-3"/>
        </w:rPr>
        <w:lastRenderedPageBreak/>
        <w:t>业、新业态和新模式进一步发展，数据资源整合和安全保护机制逐步形成，形成全球数据要素集聚中心。科技领域对外开放进一步扩大，国际科技创新合作进一步深化，要素跨境流动更加便利。世界级跨国公司培育数量稳中有增，打造跨国公司总部集聚地。</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——自由贸易试验区筑起新高地。</w:t>
      </w:r>
      <w:r>
        <w:rPr>
          <w:rFonts w:ascii="仿宋_GB2312" w:hAnsi="仿宋_GB2312" w:hint="eastAsia"/>
        </w:rPr>
        <w:t>到</w:t>
      </w:r>
      <w:r>
        <w:rPr>
          <w:rFonts w:ascii="仿宋_GB2312" w:hAnsi="仿宋_GB2312" w:hint="eastAsia"/>
        </w:rPr>
        <w:t>2025</w:t>
      </w:r>
      <w:r>
        <w:rPr>
          <w:rFonts w:ascii="仿宋_GB2312" w:hAnsi="仿宋_GB2312" w:hint="eastAsia"/>
        </w:rPr>
        <w:t>年，将自贸试验区杭州片区初步建成贸易投资</w:t>
      </w:r>
      <w:r>
        <w:rPr>
          <w:rFonts w:ascii="仿宋_GB2312" w:hAnsi="仿宋_GB2312" w:hint="eastAsia"/>
        </w:rPr>
        <w:t>便利、创新活力强劲、高端产业集聚、金融服务完善、监管安全高效的数字自贸区，自贸区外贸进出口额和实际利用外资额均高于全省平均增速</w:t>
      </w:r>
      <w:r>
        <w:rPr>
          <w:rFonts w:ascii="仿宋_GB2312" w:hAnsi="仿宋_GB2312" w:hint="eastAsia"/>
        </w:rPr>
        <w:t>3</w:t>
      </w:r>
      <w:r>
        <w:rPr>
          <w:rFonts w:ascii="仿宋_GB2312" w:hAnsi="仿宋_GB2312" w:hint="eastAsia"/>
        </w:rPr>
        <w:t>个百分点，为国家在数字经济领域规则、规制、标准制定</w:t>
      </w:r>
      <w:r>
        <w:rPr>
          <w:rFonts w:ascii="仿宋_GB2312" w:hAnsi="仿宋_GB2312" w:hint="eastAsia"/>
        </w:rPr>
        <w:t>和管理创新提供可复制可推</w:t>
      </w:r>
      <w:r>
        <w:rPr>
          <w:rFonts w:ascii="仿宋_GB2312" w:hAnsi="仿宋_GB2312" w:hint="eastAsia"/>
        </w:rPr>
        <w:t>广的经验，成为引领开放型经济高质量发展的先行区。</w:t>
      </w:r>
    </w:p>
    <w:p w:rsidR="00CD2EF2" w:rsidRDefault="003F5178" w:rsidP="00BA1400">
      <w:pPr>
        <w:snapToGrid w:val="0"/>
        <w:spacing w:line="336" w:lineRule="auto"/>
        <w:ind w:firstLineChars="200" w:firstLine="640"/>
        <w:rPr>
          <w:rFonts w:ascii="仿宋_GB2312" w:hAnsi="仿宋_GB2312"/>
        </w:rPr>
      </w:pPr>
      <w:r>
        <w:rPr>
          <w:rFonts w:ascii="仿宋_GB2312" w:hAnsi="仿宋_GB2312" w:hint="eastAsia"/>
          <w:spacing w:val="-3"/>
        </w:rPr>
        <w:t>——粮食安全保障形成新体系。</w:t>
      </w:r>
      <w:r>
        <w:rPr>
          <w:rFonts w:ascii="仿宋_GB2312" w:hAnsi="仿宋_GB2312" w:hint="eastAsia"/>
          <w:spacing w:val="-3"/>
        </w:rPr>
        <w:t>到</w:t>
      </w:r>
      <w:r>
        <w:rPr>
          <w:rFonts w:ascii="仿宋_GB2312" w:hAnsi="仿宋_GB2312" w:hint="eastAsia"/>
          <w:spacing w:val="-3"/>
        </w:rPr>
        <w:t>2025</w:t>
      </w:r>
      <w:r>
        <w:rPr>
          <w:rFonts w:ascii="仿宋_GB2312" w:hAnsi="仿宋_GB2312" w:hint="eastAsia"/>
          <w:spacing w:val="-3"/>
        </w:rPr>
        <w:t>年，形成以城区乡镇骨干店为基础，以配送中心和加工企业为龙头，以信息化为支撑的布局合理、设</w:t>
      </w:r>
      <w:r>
        <w:rPr>
          <w:rFonts w:ascii="仿宋_GB2312" w:hAnsi="仿宋_GB2312" w:hint="eastAsia"/>
          <w:spacing w:val="-3"/>
        </w:rPr>
        <w:t>施完备、运转高效、反应敏捷、质量安全的粮食应急加工和供应保障体系。粮库仓容进一步增加，线上仓储管理、交易平台基本完善，粮食安全专业人才队伍基本建立。</w:t>
      </w:r>
      <w:r>
        <w:rPr>
          <w:rFonts w:ascii="仿宋_GB2312" w:hAnsi="仿宋_GB2312" w:hint="eastAsia"/>
          <w:spacing w:val="-3"/>
        </w:rPr>
        <w:t>粮食半年、食用油</w:t>
      </w:r>
      <w:r>
        <w:rPr>
          <w:rFonts w:ascii="仿宋_GB2312" w:hAnsi="仿宋_GB2312" w:hint="eastAsia"/>
          <w:spacing w:val="-3"/>
        </w:rPr>
        <w:t>1</w:t>
      </w:r>
      <w:r>
        <w:rPr>
          <w:rFonts w:ascii="仿宋_GB2312" w:hAnsi="仿宋_GB2312" w:hint="eastAsia"/>
          <w:spacing w:val="-3"/>
        </w:rPr>
        <w:t>个月、猪肉</w:t>
      </w:r>
      <w:r>
        <w:rPr>
          <w:rFonts w:ascii="仿宋_GB2312" w:hAnsi="仿宋_GB2312" w:hint="eastAsia"/>
          <w:spacing w:val="-3"/>
        </w:rPr>
        <w:t>10</w:t>
      </w:r>
      <w:r>
        <w:rPr>
          <w:rFonts w:ascii="仿宋_GB2312" w:hAnsi="仿宋_GB2312" w:hint="eastAsia"/>
          <w:spacing w:val="-3"/>
        </w:rPr>
        <w:t>天、禽蛋菜</w:t>
      </w:r>
      <w:r>
        <w:rPr>
          <w:rFonts w:ascii="仿宋_GB2312" w:hAnsi="仿宋_GB2312" w:hint="eastAsia"/>
          <w:spacing w:val="-3"/>
        </w:rPr>
        <w:t>5</w:t>
      </w:r>
      <w:r>
        <w:rPr>
          <w:rFonts w:ascii="仿宋_GB2312" w:hAnsi="仿宋_GB2312" w:hint="eastAsia"/>
          <w:spacing w:val="-3"/>
        </w:rPr>
        <w:t>天的应急保供目标有效落实。</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到</w:t>
      </w:r>
      <w:r>
        <w:rPr>
          <w:rFonts w:ascii="仿宋_GB2312" w:hAnsi="仿宋_GB2312" w:hint="eastAsia"/>
        </w:rPr>
        <w:t>2035</w:t>
      </w:r>
      <w:r>
        <w:rPr>
          <w:rFonts w:ascii="仿宋_GB2312" w:hAnsi="仿宋_GB2312" w:hint="eastAsia"/>
        </w:rPr>
        <w:t>年，基本形成对内对外高水平开放的发展新格局，基本建立现代商贸流通体系，消费带动经济</w:t>
      </w:r>
      <w:r>
        <w:rPr>
          <w:rFonts w:ascii="仿宋_GB2312" w:hAnsi="仿宋_GB2312" w:hint="eastAsia"/>
        </w:rPr>
        <w:t>增长的作用充分发挥，数字贸易在全球的优势明显增强，参与国际经济合作和竞争优势明显提升，实现更高水平的贸易投资自由化便利化，建成可持续</w:t>
      </w:r>
      <w:r>
        <w:rPr>
          <w:rFonts w:ascii="仿宋_GB2312" w:hAnsi="仿宋_GB2312" w:hint="eastAsia"/>
        </w:rPr>
        <w:lastRenderedPageBreak/>
        <w:t>发展的粮食安全和战略物资储备安全保障体系。</w:t>
      </w:r>
      <w:bookmarkStart w:id="143" w:name="_Toc15740_WPSOffice_Level2"/>
      <w:bookmarkStart w:id="144" w:name="_Toc31860_WPSOffice_Level2"/>
      <w:bookmarkStart w:id="145" w:name="_Toc11283_WPSOffice_Level2"/>
      <w:bookmarkStart w:id="146" w:name="_Toc29597_WPSOffice_Level2"/>
      <w:bookmarkStart w:id="147" w:name="_Toc32346_WPSOffice_Level2"/>
    </w:p>
    <w:p w:rsidR="00CD2EF2" w:rsidRDefault="003F5178">
      <w:pPr>
        <w:adjustRightInd w:val="0"/>
        <w:spacing w:line="288" w:lineRule="auto"/>
        <w:jc w:val="center"/>
        <w:outlineLvl w:val="0"/>
        <w:rPr>
          <w:rFonts w:ascii="黑体" w:eastAsia="黑体" w:hAnsi="黑体"/>
          <w:sz w:val="28"/>
          <w:szCs w:val="28"/>
        </w:rPr>
      </w:pPr>
      <w:r>
        <w:rPr>
          <w:rFonts w:ascii="黑体" w:eastAsia="黑体" w:hAnsi="黑体" w:hint="eastAsia"/>
          <w:sz w:val="28"/>
          <w:szCs w:val="28"/>
        </w:rPr>
        <w:t>表</w:t>
      </w:r>
      <w:r>
        <w:rPr>
          <w:rFonts w:ascii="黑体" w:eastAsia="黑体" w:hAnsi="黑体" w:hint="eastAsia"/>
          <w:sz w:val="28"/>
          <w:szCs w:val="28"/>
        </w:rPr>
        <w:t xml:space="preserve">2  </w:t>
      </w:r>
      <w:r>
        <w:rPr>
          <w:rFonts w:ascii="黑体" w:eastAsia="黑体" w:hAnsi="黑体" w:hint="eastAsia"/>
          <w:sz w:val="28"/>
          <w:szCs w:val="28"/>
        </w:rPr>
        <w:t>“十四五”时期杭州商务发展主要指标</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326"/>
        <w:gridCol w:w="700"/>
        <w:gridCol w:w="1158"/>
        <w:gridCol w:w="1791"/>
        <w:gridCol w:w="1706"/>
      </w:tblGrid>
      <w:tr w:rsidR="00CD2EF2">
        <w:trPr>
          <w:trHeight w:val="641"/>
          <w:tblHeader/>
          <w:jc w:val="center"/>
        </w:trPr>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类</w:t>
            </w:r>
            <w:r>
              <w:rPr>
                <w:rFonts w:ascii="黑体" w:eastAsia="黑体" w:hAnsi="黑体" w:hint="eastAsia"/>
                <w:sz w:val="24"/>
              </w:rPr>
              <w:t xml:space="preserve"> </w:t>
            </w:r>
            <w:r>
              <w:rPr>
                <w:rFonts w:ascii="黑体" w:eastAsia="黑体" w:hAnsi="黑体" w:hint="eastAsia"/>
                <w:sz w:val="24"/>
              </w:rPr>
              <w:t>别</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指标名称</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单位</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2020</w:t>
            </w:r>
            <w:r>
              <w:rPr>
                <w:rFonts w:ascii="黑体" w:eastAsia="黑体" w:hAnsi="黑体" w:hint="eastAsia"/>
                <w:sz w:val="24"/>
              </w:rPr>
              <w:t>年</w:t>
            </w:r>
          </w:p>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完成情况</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“十四五”</w:t>
            </w:r>
            <w:r>
              <w:rPr>
                <w:rFonts w:ascii="黑体" w:eastAsia="黑体" w:hAnsi="黑体" w:hint="eastAsia"/>
                <w:sz w:val="24"/>
              </w:rPr>
              <w:t>时期</w:t>
            </w:r>
          </w:p>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年均增速</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2025</w:t>
            </w:r>
            <w:r>
              <w:rPr>
                <w:rFonts w:ascii="黑体" w:eastAsia="黑体" w:hAnsi="黑体" w:hint="eastAsia"/>
                <w:sz w:val="24"/>
              </w:rPr>
              <w:t>年</w:t>
            </w:r>
          </w:p>
          <w:p w:rsidR="00CD2EF2" w:rsidRDefault="003F5178">
            <w:pPr>
              <w:widowControl/>
              <w:adjustRightInd w:val="0"/>
              <w:snapToGrid w:val="0"/>
              <w:spacing w:line="240" w:lineRule="auto"/>
              <w:jc w:val="center"/>
              <w:rPr>
                <w:rFonts w:ascii="黑体" w:eastAsia="黑体" w:hAnsi="黑体"/>
                <w:sz w:val="24"/>
              </w:rPr>
            </w:pPr>
            <w:r>
              <w:rPr>
                <w:rFonts w:ascii="黑体" w:eastAsia="黑体" w:hAnsi="黑体" w:hint="eastAsia"/>
                <w:sz w:val="24"/>
              </w:rPr>
              <w:t>规划目标</w:t>
            </w:r>
          </w:p>
        </w:tc>
      </w:tr>
      <w:tr w:rsidR="00CD2EF2">
        <w:trPr>
          <w:trHeight w:val="437"/>
          <w:jc w:val="center"/>
        </w:trPr>
        <w:tc>
          <w:tcPr>
            <w:tcW w:w="11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snapToGrid w:val="0"/>
              <w:spacing w:line="288" w:lineRule="auto"/>
              <w:jc w:val="center"/>
              <w:textAlignment w:val="center"/>
              <w:rPr>
                <w:rFonts w:ascii="仿宋_GB2312" w:hAnsi="仿宋_GB2312"/>
                <w:sz w:val="24"/>
              </w:rPr>
            </w:pPr>
            <w:r>
              <w:rPr>
                <w:rFonts w:ascii="仿宋_GB2312" w:hAnsi="仿宋_GB2312" w:hint="eastAsia"/>
                <w:sz w:val="24"/>
              </w:rPr>
              <w:t>商贸流通</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社会消费品零售总额</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亿元</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6055</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6.0%</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8100</w:t>
            </w:r>
          </w:p>
        </w:tc>
      </w:tr>
      <w:tr w:rsidR="00CD2EF2">
        <w:trPr>
          <w:trHeight w:val="437"/>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网络零售额</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亿元</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8992.2</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7.3%</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12800</w:t>
            </w:r>
          </w:p>
        </w:tc>
      </w:tr>
      <w:tr w:rsidR="00CD2EF2">
        <w:trPr>
          <w:trHeight w:val="437"/>
          <w:jc w:val="center"/>
        </w:trPr>
        <w:tc>
          <w:tcPr>
            <w:tcW w:w="11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snapToGrid w:val="0"/>
              <w:spacing w:line="288" w:lineRule="auto"/>
              <w:jc w:val="center"/>
              <w:textAlignment w:val="center"/>
              <w:rPr>
                <w:rFonts w:ascii="仿宋_GB2312" w:hAnsi="仿宋_GB2312"/>
                <w:sz w:val="24"/>
              </w:rPr>
            </w:pPr>
            <w:r>
              <w:rPr>
                <w:rFonts w:ascii="仿宋_GB2312" w:hAnsi="仿宋_GB2312" w:hint="eastAsia"/>
                <w:sz w:val="24"/>
              </w:rPr>
              <w:t>对外贸易</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货物贸易进出口额</w:t>
            </w:r>
          </w:p>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（市属，下同）</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亿元</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5485.6</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5.0%</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7000</w:t>
            </w:r>
          </w:p>
        </w:tc>
      </w:tr>
      <w:tr w:rsidR="00CD2EF2">
        <w:trPr>
          <w:trHeight w:val="437"/>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其中：货物贸易</w:t>
            </w:r>
          </w:p>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出口额占全国比重</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1.95</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1.97</w:t>
            </w:r>
          </w:p>
        </w:tc>
      </w:tr>
      <w:tr w:rsidR="00CD2EF2">
        <w:trPr>
          <w:trHeight w:val="437"/>
          <w:jc w:val="center"/>
        </w:trPr>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snapToGrid w:val="0"/>
              <w:spacing w:line="240" w:lineRule="auto"/>
              <w:jc w:val="center"/>
              <w:textAlignment w:val="center"/>
              <w:rPr>
                <w:rFonts w:ascii="仿宋_GB2312" w:hAnsi="仿宋_GB2312"/>
                <w:sz w:val="24"/>
              </w:rPr>
            </w:pPr>
            <w:r>
              <w:rPr>
                <w:rFonts w:ascii="仿宋_GB2312" w:hAnsi="仿宋_GB2312" w:hint="eastAsia"/>
                <w:sz w:val="24"/>
              </w:rPr>
              <w:t>服务贸易</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服务贸易进出口额</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亿元</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rPr>
                <w:rFonts w:ascii="仿宋_GB2312" w:hAnsi="仿宋_GB2312"/>
                <w:sz w:val="24"/>
              </w:rPr>
            </w:pPr>
            <w:r>
              <w:rPr>
                <w:rFonts w:ascii="仿宋_GB2312" w:hAnsi="仿宋_GB2312" w:hint="eastAsia"/>
                <w:sz w:val="24"/>
              </w:rPr>
              <w:t>2600</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7.0%</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40" w:lineRule="auto"/>
              <w:jc w:val="center"/>
              <w:textAlignment w:val="center"/>
              <w:rPr>
                <w:rFonts w:ascii="仿宋_GB2312" w:hAnsi="仿宋_GB2312"/>
                <w:sz w:val="24"/>
              </w:rPr>
            </w:pPr>
            <w:r>
              <w:rPr>
                <w:rFonts w:ascii="仿宋_GB2312" w:hAnsi="仿宋_GB2312" w:hint="eastAsia"/>
                <w:sz w:val="24"/>
              </w:rPr>
              <w:t>3647</w:t>
            </w:r>
          </w:p>
        </w:tc>
      </w:tr>
      <w:tr w:rsidR="00CD2EF2">
        <w:trPr>
          <w:trHeight w:val="437"/>
          <w:jc w:val="center"/>
        </w:trPr>
        <w:tc>
          <w:tcPr>
            <w:tcW w:w="11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开放平台</w:t>
            </w:r>
          </w:p>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自贸区外贸进出口额</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亿元</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rsidP="00BA1400">
            <w:pPr>
              <w:snapToGrid w:val="0"/>
              <w:spacing w:line="240" w:lineRule="auto"/>
              <w:ind w:leftChars="-20" w:left="-63" w:rightChars="-20" w:right="-63"/>
              <w:textAlignment w:val="center"/>
              <w:rPr>
                <w:rFonts w:ascii="仿宋_GB2312" w:hAnsi="仿宋_GB2312"/>
                <w:sz w:val="24"/>
              </w:rPr>
            </w:pPr>
            <w:r>
              <w:rPr>
                <w:rFonts w:ascii="仿宋_GB2312" w:hAnsi="仿宋_GB2312" w:hint="eastAsia"/>
                <w:sz w:val="24"/>
              </w:rPr>
              <w:t>高于全省平均增速</w:t>
            </w:r>
            <w:r>
              <w:rPr>
                <w:rFonts w:ascii="仿宋_GB2312" w:hAnsi="仿宋_GB2312" w:hint="eastAsia"/>
                <w:sz w:val="24"/>
              </w:rPr>
              <w:t>3</w:t>
            </w:r>
            <w:r>
              <w:rPr>
                <w:rFonts w:ascii="仿宋_GB2312" w:hAnsi="仿宋_GB2312" w:hint="eastAsia"/>
                <w:sz w:val="24"/>
              </w:rPr>
              <w:t>个百分点</w:t>
            </w:r>
          </w:p>
        </w:tc>
      </w:tr>
      <w:tr w:rsidR="00CD2EF2">
        <w:trPr>
          <w:trHeight w:val="437"/>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自贸区实际利用外资</w:t>
            </w:r>
          </w:p>
        </w:tc>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rsidP="00BA1400">
            <w:pPr>
              <w:snapToGrid w:val="0"/>
              <w:spacing w:line="288" w:lineRule="auto"/>
              <w:ind w:leftChars="-50" w:left="-157" w:rightChars="-50" w:right="-157"/>
              <w:jc w:val="center"/>
              <w:textAlignment w:val="center"/>
              <w:rPr>
                <w:rFonts w:ascii="仿宋_GB2312" w:hAnsi="仿宋_GB2312"/>
                <w:sz w:val="24"/>
              </w:rPr>
            </w:pPr>
            <w:r>
              <w:rPr>
                <w:rFonts w:ascii="仿宋_GB2312" w:hAnsi="仿宋_GB2312" w:hint="eastAsia"/>
                <w:sz w:val="24"/>
              </w:rPr>
              <w:t>亿美元</w:t>
            </w:r>
          </w:p>
        </w:tc>
        <w:tc>
          <w:tcPr>
            <w:tcW w:w="1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w:t>
            </w: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textAlignment w:val="center"/>
              <w:rPr>
                <w:rFonts w:ascii="仿宋_GB2312" w:hAnsi="仿宋_GB2312"/>
                <w:sz w:val="24"/>
              </w:rPr>
            </w:pPr>
            <w:r>
              <w:rPr>
                <w:rFonts w:ascii="仿宋_GB2312" w:hAnsi="仿宋_GB2312" w:hint="eastAsia"/>
                <w:sz w:val="24"/>
              </w:rPr>
              <w:t>-</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rsidP="00BA1400">
            <w:pPr>
              <w:snapToGrid w:val="0"/>
              <w:spacing w:line="240" w:lineRule="auto"/>
              <w:ind w:leftChars="-20" w:left="-63" w:rightChars="-20" w:right="-63"/>
              <w:textAlignment w:val="center"/>
              <w:rPr>
                <w:rFonts w:ascii="仿宋_GB2312" w:hAnsi="仿宋_GB2312"/>
                <w:sz w:val="24"/>
              </w:rPr>
            </w:pPr>
            <w:r>
              <w:rPr>
                <w:rFonts w:ascii="仿宋_GB2312" w:hAnsi="仿宋_GB2312" w:hint="eastAsia"/>
                <w:sz w:val="24"/>
              </w:rPr>
              <w:t>高于全省平均增速</w:t>
            </w:r>
            <w:r>
              <w:rPr>
                <w:rFonts w:ascii="仿宋_GB2312" w:hAnsi="仿宋_GB2312" w:hint="eastAsia"/>
                <w:sz w:val="24"/>
              </w:rPr>
              <w:t>3</w:t>
            </w:r>
            <w:r>
              <w:rPr>
                <w:rFonts w:ascii="仿宋_GB2312" w:hAnsi="仿宋_GB2312" w:hint="eastAsia"/>
                <w:sz w:val="24"/>
              </w:rPr>
              <w:t>个百分点</w:t>
            </w:r>
          </w:p>
        </w:tc>
      </w:tr>
    </w:tbl>
    <w:bookmarkEnd w:id="108"/>
    <w:bookmarkEnd w:id="109"/>
    <w:bookmarkEnd w:id="143"/>
    <w:bookmarkEnd w:id="144"/>
    <w:bookmarkEnd w:id="145"/>
    <w:bookmarkEnd w:id="146"/>
    <w:bookmarkEnd w:id="147"/>
    <w:p w:rsidR="00CD2EF2" w:rsidRDefault="003F5178" w:rsidP="00BA1400">
      <w:pPr>
        <w:snapToGrid w:val="0"/>
        <w:spacing w:beforeLines="10" w:before="59" w:line="288" w:lineRule="auto"/>
        <w:rPr>
          <w:rFonts w:ascii="楷体_GB2312" w:eastAsia="楷体_GB2312" w:hAnsi="楷体_GB2312"/>
          <w:sz w:val="24"/>
        </w:rPr>
      </w:pPr>
      <w:r>
        <w:rPr>
          <w:rFonts w:ascii="楷体_GB2312" w:eastAsia="楷体_GB2312" w:hAnsi="楷体_GB2312" w:hint="eastAsia"/>
          <w:kern w:val="0"/>
          <w:sz w:val="24"/>
        </w:rPr>
        <w:t>注：如发生重大事件及其他不可预见的特殊事件，将根据实际情况对主要指标</w:t>
      </w:r>
      <w:proofErr w:type="gramStart"/>
      <w:r>
        <w:rPr>
          <w:rFonts w:ascii="楷体_GB2312" w:eastAsia="楷体_GB2312" w:hAnsi="楷体_GB2312" w:hint="eastAsia"/>
          <w:kern w:val="0"/>
          <w:sz w:val="24"/>
        </w:rPr>
        <w:t>作出</w:t>
      </w:r>
      <w:proofErr w:type="gramEnd"/>
      <w:r>
        <w:rPr>
          <w:rFonts w:ascii="楷体_GB2312" w:eastAsia="楷体_GB2312" w:hAnsi="楷体_GB2312" w:hint="eastAsia"/>
          <w:kern w:val="0"/>
          <w:sz w:val="24"/>
        </w:rPr>
        <w:t>调整。</w:t>
      </w:r>
    </w:p>
    <w:p w:rsidR="00CD2EF2" w:rsidRDefault="003F5178" w:rsidP="00BA1400">
      <w:pPr>
        <w:snapToGrid w:val="0"/>
        <w:spacing w:beforeLines="50" w:before="295" w:line="336" w:lineRule="auto"/>
        <w:rPr>
          <w:rFonts w:eastAsia="黑体"/>
        </w:rPr>
      </w:pPr>
      <w:bookmarkStart w:id="148" w:name="_Toc18912"/>
      <w:bookmarkStart w:id="149" w:name="_Toc32529"/>
      <w:bookmarkStart w:id="150" w:name="_Toc24151"/>
      <w:bookmarkStart w:id="151" w:name="_Toc17320"/>
      <w:bookmarkStart w:id="152" w:name="_Toc1102"/>
      <w:bookmarkStart w:id="153" w:name="_Toc24494"/>
      <w:bookmarkStart w:id="154" w:name="_Toc10087"/>
      <w:bookmarkStart w:id="155" w:name="_Toc13704"/>
      <w:bookmarkStart w:id="156" w:name="_Toc11398"/>
      <w:bookmarkStart w:id="157" w:name="_Toc7916"/>
      <w:bookmarkStart w:id="158" w:name="_Toc28032"/>
      <w:r>
        <w:rPr>
          <w:rFonts w:eastAsia="黑体" w:hint="eastAsia"/>
        </w:rPr>
        <w:t xml:space="preserve">   </w:t>
      </w:r>
      <w:r>
        <w:rPr>
          <w:rFonts w:eastAsia="黑体" w:hint="eastAsia"/>
        </w:rPr>
        <w:t xml:space="preserve"> </w:t>
      </w:r>
      <w:r>
        <w:rPr>
          <w:rFonts w:eastAsia="黑体" w:hint="eastAsia"/>
        </w:rPr>
        <w:t>四、重点任务</w:t>
      </w:r>
      <w:bookmarkEnd w:id="148"/>
      <w:bookmarkEnd w:id="149"/>
      <w:bookmarkEnd w:id="150"/>
      <w:bookmarkEnd w:id="151"/>
      <w:bookmarkEnd w:id="152"/>
      <w:bookmarkEnd w:id="153"/>
      <w:bookmarkEnd w:id="154"/>
      <w:bookmarkEnd w:id="155"/>
      <w:bookmarkEnd w:id="156"/>
      <w:bookmarkEnd w:id="157"/>
      <w:bookmarkEnd w:id="158"/>
    </w:p>
    <w:p w:rsidR="00CD2EF2" w:rsidRDefault="003F5178" w:rsidP="00BA1400">
      <w:pPr>
        <w:snapToGrid w:val="0"/>
        <w:spacing w:line="336" w:lineRule="auto"/>
        <w:ind w:firstLineChars="200" w:firstLine="628"/>
        <w:rPr>
          <w:rFonts w:eastAsia="楷体_GB2312"/>
        </w:rPr>
      </w:pPr>
      <w:bookmarkStart w:id="159" w:name="_Toc23693"/>
      <w:bookmarkStart w:id="160" w:name="_Toc25040"/>
      <w:bookmarkStart w:id="161" w:name="_Toc29198"/>
      <w:bookmarkStart w:id="162" w:name="_Toc31912"/>
      <w:bookmarkStart w:id="163" w:name="_Toc9699"/>
      <w:bookmarkStart w:id="164" w:name="_Toc23231"/>
      <w:bookmarkStart w:id="165" w:name="_Toc25512"/>
      <w:bookmarkStart w:id="166" w:name="_Toc18682"/>
      <w:bookmarkStart w:id="167" w:name="_Toc7167"/>
      <w:bookmarkStart w:id="168" w:name="_Toc12199"/>
      <w:bookmarkStart w:id="169" w:name="_Toc5457"/>
      <w:bookmarkStart w:id="170" w:name="_Toc475008331"/>
      <w:bookmarkStart w:id="171" w:name="_Toc475008322"/>
      <w:bookmarkStart w:id="172" w:name="_Toc464202785"/>
      <w:bookmarkStart w:id="173" w:name="_Toc464202794"/>
      <w:r>
        <w:rPr>
          <w:rFonts w:eastAsia="楷体_GB2312" w:hint="eastAsia"/>
        </w:rPr>
        <w:t>（一）建设多层次消费平台，打造新型消费中心城市</w:t>
      </w:r>
      <w:bookmarkEnd w:id="159"/>
      <w:bookmarkEnd w:id="160"/>
      <w:bookmarkEnd w:id="161"/>
      <w:bookmarkEnd w:id="162"/>
      <w:bookmarkEnd w:id="163"/>
      <w:bookmarkEnd w:id="164"/>
      <w:bookmarkEnd w:id="165"/>
      <w:bookmarkEnd w:id="166"/>
      <w:bookmarkEnd w:id="167"/>
      <w:bookmarkEnd w:id="168"/>
      <w:bookmarkEnd w:id="169"/>
      <w:r>
        <w:rPr>
          <w:rFonts w:eastAsia="楷体_GB2312" w:hint="eastAsia"/>
        </w:rPr>
        <w:t>。</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建设高端城市消费地标。在</w:t>
      </w:r>
      <w:r>
        <w:rPr>
          <w:rFonts w:ascii="仿宋_GB2312" w:hAnsi="仿宋_GB2312" w:hint="eastAsia"/>
        </w:rPr>
        <w:t>“三圈三街三站”基础上，形成多中心区域性消费地标。聚焦高端消费，打造延安路—湖滨路和钱江新城—钱江世纪城两大国际商业中心。聚焦多元消费，在湖滨商圈、吴山商圈、武林商圈和延安路、南山路、东坡—武林路注入国际、时尚、智慧、人文等元素，优化环境、</w:t>
      </w:r>
      <w:proofErr w:type="gramStart"/>
      <w:r>
        <w:rPr>
          <w:rFonts w:ascii="仿宋_GB2312" w:hAnsi="仿宋_GB2312" w:hint="eastAsia"/>
        </w:rPr>
        <w:t>整合业</w:t>
      </w:r>
      <w:proofErr w:type="gramEnd"/>
      <w:r>
        <w:rPr>
          <w:rFonts w:ascii="仿宋_GB2312" w:hAnsi="仿宋_GB2312" w:hint="eastAsia"/>
        </w:rPr>
        <w:t>态、集聚潮牌。发挥延安路—湖滨路新消费“双街示范”工程引领作用，优化商业</w:t>
      </w:r>
      <w:proofErr w:type="gramStart"/>
      <w:r>
        <w:rPr>
          <w:rFonts w:ascii="仿宋_GB2312" w:hAnsi="仿宋_GB2312" w:hint="eastAsia"/>
        </w:rPr>
        <w:t>业</w:t>
      </w:r>
      <w:proofErr w:type="gramEnd"/>
      <w:r>
        <w:rPr>
          <w:rFonts w:ascii="仿宋_GB2312" w:hAnsi="仿宋_GB2312" w:hint="eastAsia"/>
        </w:rPr>
        <w:t>态，增加消费体验，增强新技术应用，打造具有国际穿透力的商业地标。对机场、火车站、地铁站商业</w:t>
      </w:r>
      <w:proofErr w:type="gramStart"/>
      <w:r>
        <w:rPr>
          <w:rFonts w:ascii="仿宋_GB2312" w:hAnsi="仿宋_GB2312" w:hint="eastAsia"/>
        </w:rPr>
        <w:t>业态进行</w:t>
      </w:r>
      <w:proofErr w:type="gramEnd"/>
      <w:r>
        <w:rPr>
          <w:rFonts w:ascii="仿宋_GB2312" w:hAnsi="仿宋_GB2312" w:hint="eastAsia"/>
        </w:rPr>
        <w:lastRenderedPageBreak/>
        <w:t>智慧化改造，依托交通枢纽建设，打造“枢纽商务区”。以</w:t>
      </w:r>
      <w:r>
        <w:rPr>
          <w:rFonts w:ascii="仿宋_GB2312" w:hAnsi="仿宋_GB2312" w:hint="eastAsia"/>
        </w:rPr>
        <w:t>TOD</w:t>
      </w:r>
      <w:r>
        <w:rPr>
          <w:rFonts w:ascii="仿宋_GB2312" w:hAnsi="仿宋_GB2312" w:hint="eastAsia"/>
        </w:rPr>
        <w:t>理念加快发展枢纽经济，发展数字经济、</w:t>
      </w:r>
      <w:r>
        <w:rPr>
          <w:rFonts w:ascii="仿宋_GB2312" w:hAnsi="仿宋_GB2312" w:hint="eastAsia"/>
        </w:rPr>
        <w:t>总部经济、高端商务、精品商贸、文化旅游等业态。推进钱江新城—庆</w:t>
      </w:r>
      <w:proofErr w:type="gramStart"/>
      <w:r>
        <w:rPr>
          <w:rFonts w:ascii="仿宋_GB2312" w:hAnsi="仿宋_GB2312" w:hint="eastAsia"/>
        </w:rPr>
        <w:t>春广场</w:t>
      </w:r>
      <w:proofErr w:type="gramEnd"/>
      <w:r>
        <w:rPr>
          <w:rFonts w:ascii="仿宋_GB2312" w:hAnsi="仿宋_GB2312" w:hint="eastAsia"/>
        </w:rPr>
        <w:t>商圈、钱江新城—钱江世纪城国际商业中心和</w:t>
      </w:r>
      <w:proofErr w:type="gramStart"/>
      <w:r>
        <w:rPr>
          <w:rFonts w:ascii="仿宋_GB2312" w:hAnsi="仿宋_GB2312" w:hint="eastAsia"/>
        </w:rPr>
        <w:t>杭港</w:t>
      </w:r>
      <w:proofErr w:type="gramEnd"/>
      <w:r>
        <w:rPr>
          <w:rFonts w:ascii="仿宋_GB2312" w:hAnsi="仿宋_GB2312" w:hint="eastAsia"/>
        </w:rPr>
        <w:t>（望江）高端服务业集聚区培育，与会展、竞赛、会议、演出等紧密融合，加快推进商业综合体建设，引进文化类、娱乐类、餐饮类等业态配置。</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建设融合型智慧商圈。</w:t>
      </w:r>
      <w:r>
        <w:rPr>
          <w:rFonts w:ascii="仿宋_GB2312" w:hAnsi="仿宋_GB2312" w:hint="eastAsia"/>
        </w:rPr>
        <w:t>支持各商圈、商业街区等</w:t>
      </w:r>
      <w:proofErr w:type="gramStart"/>
      <w:r>
        <w:rPr>
          <w:rFonts w:ascii="仿宋_GB2312" w:hAnsi="仿宋_GB2312" w:hint="eastAsia"/>
        </w:rPr>
        <w:t>优化业</w:t>
      </w:r>
      <w:proofErr w:type="gramEnd"/>
      <w:r>
        <w:rPr>
          <w:rFonts w:ascii="仿宋_GB2312" w:hAnsi="仿宋_GB2312" w:hint="eastAsia"/>
        </w:rPr>
        <w:t>态和品牌，大力开展数字化建设，利用物联网、</w:t>
      </w:r>
      <w:proofErr w:type="gramStart"/>
      <w:r>
        <w:rPr>
          <w:rFonts w:ascii="仿宋_GB2312" w:hAnsi="仿宋_GB2312" w:hint="eastAsia"/>
        </w:rPr>
        <w:t>云计算</w:t>
      </w:r>
      <w:proofErr w:type="gramEnd"/>
      <w:r>
        <w:rPr>
          <w:rFonts w:ascii="仿宋_GB2312" w:hAnsi="仿宋_GB2312" w:hint="eastAsia"/>
        </w:rPr>
        <w:t>和大数据等技术，打造特色鲜明的智慧商圈。聚焦服务便利化、智慧化、人性化、特色化，深度运用数字技术改造提升一批智慧商店、智慧商业综合体，推进智慧商务、智慧设施、智慧服务、智</w:t>
      </w:r>
      <w:r>
        <w:rPr>
          <w:rFonts w:ascii="仿宋_GB2312" w:hAnsi="仿宋_GB2312" w:hint="eastAsia"/>
        </w:rPr>
        <w:t>慧营销、智慧环境、智慧管理等场景应用创新，实现政府公共服务和商圈等场所消费服务有机融合，打造智慧化高品质消费集聚平台。</w:t>
      </w:r>
      <w:proofErr w:type="gramStart"/>
      <w:r>
        <w:rPr>
          <w:rFonts w:ascii="仿宋_GB2312" w:hAnsi="仿宋_GB2312" w:hint="eastAsia"/>
        </w:rPr>
        <w:t>鼓励商</w:t>
      </w:r>
      <w:proofErr w:type="gramEnd"/>
      <w:r>
        <w:rPr>
          <w:rFonts w:ascii="仿宋_GB2312" w:hAnsi="仿宋_GB2312" w:hint="eastAsia"/>
        </w:rPr>
        <w:t>圈内各商家积极引入新技术、新模式，搭建消费新场景，提升消费者体验感、参与感。支持商圈运营管理方搭建商圈运营管理平台，支持搭建链接多街区、</w:t>
      </w:r>
      <w:proofErr w:type="gramStart"/>
      <w:r>
        <w:rPr>
          <w:rFonts w:ascii="仿宋_GB2312" w:hAnsi="仿宋_GB2312" w:hint="eastAsia"/>
        </w:rPr>
        <w:t>多商圈</w:t>
      </w:r>
      <w:proofErr w:type="gramEnd"/>
      <w:r>
        <w:rPr>
          <w:rFonts w:ascii="仿宋_GB2312" w:hAnsi="仿宋_GB2312" w:hint="eastAsia"/>
        </w:rPr>
        <w:t>的智慧化服务平台，推动街区、</w:t>
      </w:r>
      <w:proofErr w:type="gramStart"/>
      <w:r>
        <w:rPr>
          <w:rFonts w:ascii="仿宋_GB2312" w:hAnsi="仿宋_GB2312" w:hint="eastAsia"/>
        </w:rPr>
        <w:t>商圈各类</w:t>
      </w:r>
      <w:proofErr w:type="gramEnd"/>
      <w:r>
        <w:rPr>
          <w:rFonts w:ascii="仿宋_GB2312" w:hAnsi="仿宋_GB2312" w:hint="eastAsia"/>
        </w:rPr>
        <w:t>资源共享，便利消费。引入夜间经济、新零售和文化演艺等业态，推动与周边景区、商业街区互动发展，支持特色化、差异化运营。</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建设特色文化商业街区。</w:t>
      </w:r>
      <w:r>
        <w:rPr>
          <w:rFonts w:ascii="仿宋_GB2312" w:hAnsi="仿宋_GB2312" w:hint="eastAsia"/>
        </w:rPr>
        <w:t>以“双街示范”工程为引领，推动特色商业街区建设。充分挖掘南宋文化、</w:t>
      </w:r>
      <w:r>
        <w:rPr>
          <w:rFonts w:ascii="仿宋_GB2312" w:hAnsi="仿宋_GB2312" w:hint="eastAsia"/>
        </w:rPr>
        <w:t>丝绸文化、西湖文化、运河文化、良渚文化等，培育有代表性的文化</w:t>
      </w:r>
      <w:r>
        <w:rPr>
          <w:rFonts w:ascii="仿宋_GB2312" w:hAnsi="仿宋_GB2312" w:hint="eastAsia"/>
        </w:rPr>
        <w:t>IP</w:t>
      </w:r>
      <w:r>
        <w:rPr>
          <w:rFonts w:ascii="仿宋_GB2312" w:hAnsi="仿宋_GB2312" w:hint="eastAsia"/>
        </w:rPr>
        <w:t>和文化时尚活动</w:t>
      </w:r>
      <w:r>
        <w:rPr>
          <w:rFonts w:ascii="仿宋_GB2312" w:hAnsi="仿宋_GB2312" w:hint="eastAsia"/>
        </w:rPr>
        <w:lastRenderedPageBreak/>
        <w:t>品牌。增加街景小品、雕塑、天幕、灯光等，进一步优化街区环境。瞄准数字化改革赛道，构建智慧消费场景，推进新零售实验区建设，支持商业步行街发展成为零售创新孵化平台和技术应用服务平台；发挥湖滨步行街“全国示范步行街”带动作用，继续推进清河坊、丝绸城、星光大道电影文化街、湘</w:t>
      </w:r>
      <w:proofErr w:type="gramStart"/>
      <w:r>
        <w:rPr>
          <w:rFonts w:ascii="仿宋_GB2312" w:hAnsi="仿宋_GB2312" w:hint="eastAsia"/>
        </w:rPr>
        <w:t>湖慢生活街</w:t>
      </w:r>
      <w:proofErr w:type="gramEnd"/>
      <w:r>
        <w:rPr>
          <w:rFonts w:ascii="仿宋_GB2312" w:hAnsi="仿宋_GB2312" w:hint="eastAsia"/>
        </w:rPr>
        <w:t>等省级高品质步行街建设，改造提升杭州十字金街、四季</w:t>
      </w:r>
      <w:proofErr w:type="gramStart"/>
      <w:r>
        <w:rPr>
          <w:rFonts w:ascii="仿宋_GB2312" w:hAnsi="仿宋_GB2312" w:hint="eastAsia"/>
        </w:rPr>
        <w:t>青服装</w:t>
      </w:r>
      <w:proofErr w:type="gramEnd"/>
      <w:r>
        <w:rPr>
          <w:rFonts w:ascii="仿宋_GB2312" w:hAnsi="仿宋_GB2312" w:hint="eastAsia"/>
        </w:rPr>
        <w:t>特色街区、南宋御街、南山路、</w:t>
      </w:r>
      <w:proofErr w:type="gramStart"/>
      <w:r>
        <w:rPr>
          <w:rFonts w:ascii="仿宋_GB2312" w:hAnsi="仿宋_GB2312" w:hint="eastAsia"/>
        </w:rPr>
        <w:t>祥符桥</w:t>
      </w:r>
      <w:proofErr w:type="gramEnd"/>
      <w:r>
        <w:rPr>
          <w:rFonts w:ascii="仿宋_GB2312" w:hAnsi="仿宋_GB2312" w:hint="eastAsia"/>
        </w:rPr>
        <w:t>历史街区、桥西直街、大兜路、小河直街、临安塔山路等特色商业街区；鼓励</w:t>
      </w:r>
      <w:r>
        <w:rPr>
          <w:rFonts w:ascii="仿宋_GB2312" w:hAnsi="仿宋_GB2312" w:hint="eastAsia"/>
        </w:rPr>
        <w:t>各区、县（市）依托文化历史、民风民俗、特色产品、建筑风貌、旅游资源等，设计宣传消费旅游体验，打造各具特点的休闲消费商业街区；支持在西湖区率先建设数字生活街区，打响历史有根、文化有脉、商业有魂、经营有道的特色街区品牌。</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完善社区便民消费载体。</w:t>
      </w:r>
      <w:r>
        <w:rPr>
          <w:rFonts w:ascii="仿宋_GB2312" w:hAnsi="仿宋_GB2312" w:hint="eastAsia"/>
        </w:rPr>
        <w:t>结合未来社区建设和老旧小区改造要求，推动《未来社区商业建设及运营规范》省级地方标准落地，强化对楼宇底商的招引和整合提升，新建、提升社区便民服务中心和生活服务集聚中心，加强智慧化生活配套服务设施建设，支持线上线下</w:t>
      </w:r>
      <w:proofErr w:type="gramStart"/>
      <w:r>
        <w:rPr>
          <w:rFonts w:ascii="仿宋_GB2312" w:hAnsi="仿宋_GB2312" w:hint="eastAsia"/>
        </w:rPr>
        <w:t>全渠道</w:t>
      </w:r>
      <w:proofErr w:type="gramEnd"/>
      <w:r>
        <w:rPr>
          <w:rFonts w:ascii="仿宋_GB2312" w:hAnsi="仿宋_GB2312" w:hint="eastAsia"/>
        </w:rPr>
        <w:t>发展的智能便利店、无人零售门店等</w:t>
      </w:r>
      <w:proofErr w:type="gramStart"/>
      <w:r>
        <w:rPr>
          <w:rFonts w:ascii="仿宋_GB2312" w:hAnsi="仿宋_GB2312" w:hint="eastAsia"/>
        </w:rPr>
        <w:t>业态进社区</w:t>
      </w:r>
      <w:proofErr w:type="gramEnd"/>
      <w:r>
        <w:rPr>
          <w:rFonts w:ascii="仿宋_GB2312" w:hAnsi="仿宋_GB2312" w:hint="eastAsia"/>
        </w:rPr>
        <w:t>，</w:t>
      </w:r>
      <w:proofErr w:type="gramStart"/>
      <w:r>
        <w:rPr>
          <w:rFonts w:ascii="仿宋_GB2312" w:hAnsi="仿宋_GB2312" w:hint="eastAsia"/>
        </w:rPr>
        <w:t>全渠道</w:t>
      </w:r>
      <w:proofErr w:type="gramEnd"/>
      <w:r>
        <w:rPr>
          <w:rFonts w:ascii="仿宋_GB2312" w:hAnsi="仿宋_GB2312" w:hint="eastAsia"/>
        </w:rPr>
        <w:t>满</w:t>
      </w:r>
      <w:r>
        <w:rPr>
          <w:rFonts w:ascii="仿宋_GB2312" w:hAnsi="仿宋_GB2312" w:hint="eastAsia"/>
        </w:rPr>
        <w:t>足居民日常生活需求。支持邻里中心等一站式生活配套服务设施建设，鼓励各类专业化社区商业运营机构发展，提升社区商业能级，打造一批线上线下融合，集餐饮、洗染、美容美发、维修、托育等为一体的“一刻钟便民生活圈”。严格按照农贸市场改造提升工作要求，加强对农贸市场的整体规划，推进</w:t>
      </w:r>
      <w:r>
        <w:rPr>
          <w:rFonts w:ascii="仿宋_GB2312" w:hAnsi="仿宋_GB2312" w:hint="eastAsia"/>
        </w:rPr>
        <w:lastRenderedPageBreak/>
        <w:t>均衡布点，巩固农贸市场保供作用，支持公益性农产品市场建设。发挥数字经济优势，大力提升社区商业智慧化水平，探索建立社区商业综合服务平台，推广“互联网</w:t>
      </w:r>
      <w:r>
        <w:rPr>
          <w:rFonts w:ascii="仿宋_GB2312" w:hAnsi="仿宋_GB2312" w:hint="eastAsia"/>
        </w:rPr>
        <w:t>+</w:t>
      </w:r>
      <w:r>
        <w:rPr>
          <w:rFonts w:ascii="仿宋_GB2312" w:hAnsi="仿宋_GB2312" w:hint="eastAsia"/>
        </w:rPr>
        <w:t>生活服务业”“互联网</w:t>
      </w:r>
      <w:r>
        <w:rPr>
          <w:rFonts w:ascii="仿宋_GB2312" w:hAnsi="仿宋_GB2312" w:hint="eastAsia"/>
        </w:rPr>
        <w:t>+</w:t>
      </w:r>
      <w:r>
        <w:rPr>
          <w:rFonts w:ascii="仿宋_GB2312" w:hAnsi="仿宋_GB2312" w:hint="eastAsia"/>
        </w:rPr>
        <w:t>夜间经济”等新模式，全面打造沉浸式智慧社区商业样本，精准满足居民多样化的需</w:t>
      </w:r>
      <w:r>
        <w:rPr>
          <w:rFonts w:ascii="仿宋_GB2312" w:hAnsi="仿宋_GB2312" w:hint="eastAsia"/>
        </w:rPr>
        <w:t>求。</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5.</w:t>
      </w:r>
      <w:r>
        <w:rPr>
          <w:rFonts w:ascii="仿宋_GB2312" w:hAnsi="仿宋_GB2312" w:hint="eastAsia"/>
        </w:rPr>
        <w:t>建</w:t>
      </w:r>
      <w:r>
        <w:rPr>
          <w:rFonts w:ascii="仿宋_GB2312" w:hAnsi="仿宋_GB2312" w:hint="eastAsia"/>
        </w:rPr>
        <w:t>设农村消费中心。</w:t>
      </w:r>
      <w:r>
        <w:rPr>
          <w:rFonts w:ascii="仿宋_GB2312" w:hAnsi="仿宋_GB2312" w:hint="eastAsia"/>
        </w:rPr>
        <w:t>落实《浙江省商务厅等</w:t>
      </w:r>
      <w:r>
        <w:rPr>
          <w:rFonts w:ascii="仿宋_GB2312" w:hAnsi="仿宋_GB2312" w:hint="eastAsia"/>
        </w:rPr>
        <w:t>17</w:t>
      </w:r>
      <w:r>
        <w:rPr>
          <w:rFonts w:ascii="仿宋_GB2312" w:hAnsi="仿宋_GB2312" w:hint="eastAsia"/>
        </w:rPr>
        <w:t>部门关于印发浙江省加强县域商业体系建设促进农村消费实施方案（</w:t>
      </w:r>
      <w:r>
        <w:rPr>
          <w:rFonts w:ascii="仿宋_GB2312" w:hAnsi="仿宋_GB2312" w:hint="eastAsia"/>
        </w:rPr>
        <w:t>2021</w:t>
      </w:r>
      <w:r>
        <w:rPr>
          <w:rFonts w:ascii="仿宋_GB2312" w:hAnsi="仿宋_GB2312" w:hint="eastAsia"/>
        </w:rPr>
        <w:t>—</w:t>
      </w:r>
      <w:r>
        <w:rPr>
          <w:rFonts w:ascii="仿宋_GB2312" w:hAnsi="仿宋_GB2312" w:hint="eastAsia"/>
        </w:rPr>
        <w:t>2025</w:t>
      </w:r>
      <w:r>
        <w:rPr>
          <w:rFonts w:ascii="仿宋_GB2312" w:hAnsi="仿宋_GB2312" w:hint="eastAsia"/>
        </w:rPr>
        <w:t>年）的通知》（浙商务联发〔</w:t>
      </w:r>
      <w:r>
        <w:rPr>
          <w:rFonts w:ascii="仿宋_GB2312" w:hAnsi="仿宋_GB2312" w:hint="eastAsia"/>
        </w:rPr>
        <w:t>2021</w:t>
      </w:r>
      <w:r>
        <w:rPr>
          <w:rFonts w:ascii="仿宋_GB2312" w:hAnsi="仿宋_GB2312" w:hint="eastAsia"/>
        </w:rPr>
        <w:t>〕</w:t>
      </w:r>
      <w:r>
        <w:rPr>
          <w:rFonts w:ascii="仿宋_GB2312" w:hAnsi="仿宋_GB2312" w:hint="eastAsia"/>
        </w:rPr>
        <w:t>130</w:t>
      </w:r>
      <w:r>
        <w:rPr>
          <w:rFonts w:ascii="仿宋_GB2312" w:hAnsi="仿宋_GB2312" w:hint="eastAsia"/>
        </w:rPr>
        <w:t>号）要求，高标准建设完善县域商贸综合体，引导社会资本向具有发展潜力的乡镇倾斜，支持有条件的乡村建设集购物、休闲、娱乐、餐饮、生活服务等为一体的村民服务中心。鼓励农村电商发展，实施电子商务进万村（</w:t>
      </w:r>
      <w:proofErr w:type="gramStart"/>
      <w:r>
        <w:rPr>
          <w:rFonts w:ascii="仿宋_GB2312" w:hAnsi="仿宋_GB2312" w:hint="eastAsia"/>
        </w:rPr>
        <w:t>村播计划</w:t>
      </w:r>
      <w:proofErr w:type="gramEnd"/>
      <w:r>
        <w:rPr>
          <w:rFonts w:ascii="仿宋_GB2312" w:hAnsi="仿宋_GB2312" w:hint="eastAsia"/>
        </w:rPr>
        <w:t>）行动。支持农村数字商业、智慧商业发展，鼓励开设新零售、跨境电商村镇体验店。</w:t>
      </w:r>
      <w:r>
        <w:rPr>
          <w:rFonts w:ascii="仿宋_GB2312" w:hAnsi="仿宋_GB2312" w:hint="eastAsia"/>
          <w:color w:val="000000"/>
        </w:rPr>
        <w:t>丰富“工业品下乡”的“云消费”场景，激发农村电</w:t>
      </w:r>
      <w:proofErr w:type="gramStart"/>
      <w:r>
        <w:rPr>
          <w:rFonts w:ascii="仿宋_GB2312" w:hAnsi="仿宋_GB2312" w:hint="eastAsia"/>
          <w:color w:val="000000"/>
        </w:rPr>
        <w:t>商消费</w:t>
      </w:r>
      <w:proofErr w:type="gramEnd"/>
      <w:r>
        <w:rPr>
          <w:rFonts w:ascii="仿宋_GB2312" w:hAnsi="仿宋_GB2312" w:hint="eastAsia"/>
          <w:color w:val="000000"/>
        </w:rPr>
        <w:t>活力。</w:t>
      </w:r>
      <w:r>
        <w:rPr>
          <w:rFonts w:ascii="仿宋_GB2312" w:hAnsi="仿宋_GB2312" w:hint="eastAsia"/>
        </w:rPr>
        <w:t>鼓励发展特色农村休闲、乡村旅游、农家观光等消费市场，支持村民开设农家乐、特色民宿等。加快农产品产地市场体系建设，加快发展农产品冷链物流，完善农产品流通体系。鼓励农产品产销方式多样化，推进农超、农批、农校对接工作，支持建立特色农产品展销中心、直销店等业态，鼓励农产品线上交易。积极探索“村邮站</w:t>
      </w:r>
      <w:r>
        <w:rPr>
          <w:rFonts w:ascii="仿宋_GB2312" w:hAnsi="仿宋_GB2312" w:hint="eastAsia"/>
        </w:rPr>
        <w:t>+</w:t>
      </w:r>
      <w:r>
        <w:rPr>
          <w:rFonts w:ascii="仿宋_GB2312" w:hAnsi="仿宋_GB2312" w:hint="eastAsia"/>
        </w:rPr>
        <w:t>快递超市</w:t>
      </w:r>
      <w:r>
        <w:rPr>
          <w:rFonts w:ascii="仿宋_GB2312" w:hAnsi="仿宋_GB2312" w:hint="eastAsia"/>
        </w:rPr>
        <w:t>+</w:t>
      </w:r>
      <w:r>
        <w:rPr>
          <w:rFonts w:ascii="仿宋_GB2312" w:hAnsi="仿宋_GB2312" w:hint="eastAsia"/>
        </w:rPr>
        <w:t>简易金融”模式。进一步打通“工业品下乡，农产品进城”渠道，完善乡村物流体系，推进物流站点共用共享，提高物流效率。</w:t>
      </w:r>
    </w:p>
    <w:p w:rsidR="00CD2EF2" w:rsidRDefault="003F5178" w:rsidP="00BA1400">
      <w:pPr>
        <w:snapToGrid w:val="0"/>
        <w:spacing w:line="336" w:lineRule="auto"/>
        <w:ind w:firstLineChars="200" w:firstLine="628"/>
        <w:rPr>
          <w:rFonts w:eastAsia="楷体_GB2312"/>
        </w:rPr>
      </w:pPr>
      <w:r>
        <w:rPr>
          <w:rFonts w:eastAsia="楷体_GB2312" w:hint="eastAsia"/>
        </w:rPr>
        <w:t>（二）赋能数字消费应用场景，构建数字生活新生态。</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lastRenderedPageBreak/>
        <w:t>1.</w:t>
      </w:r>
      <w:r>
        <w:rPr>
          <w:rFonts w:ascii="仿宋_GB2312" w:hAnsi="仿宋_GB2312" w:hint="eastAsia"/>
        </w:rPr>
        <w:t>加强数字消费场景应用。</w:t>
      </w:r>
      <w:r>
        <w:rPr>
          <w:rFonts w:ascii="仿宋_GB2312" w:hAnsi="仿宋_GB2312" w:hint="eastAsia"/>
        </w:rPr>
        <w:t>落实《杭州市新零售发</w:t>
      </w:r>
      <w:r>
        <w:rPr>
          <w:rFonts w:ascii="仿宋_GB2312" w:hAnsi="仿宋_GB2312" w:hint="eastAsia"/>
        </w:rPr>
        <w:t>展五年行动计划（</w:t>
      </w:r>
      <w:r>
        <w:rPr>
          <w:rFonts w:ascii="仿宋_GB2312" w:hAnsi="仿宋_GB2312" w:hint="eastAsia"/>
        </w:rPr>
        <w:t>2019</w:t>
      </w:r>
      <w:r>
        <w:rPr>
          <w:rFonts w:ascii="仿宋_GB2312" w:hAnsi="仿宋_GB2312" w:hint="eastAsia"/>
        </w:rPr>
        <w:t>—</w:t>
      </w:r>
      <w:r>
        <w:rPr>
          <w:rFonts w:ascii="仿宋_GB2312" w:hAnsi="仿宋_GB2312" w:hint="eastAsia"/>
        </w:rPr>
        <w:t>2023</w:t>
      </w:r>
      <w:r>
        <w:rPr>
          <w:rFonts w:ascii="仿宋_GB2312" w:hAnsi="仿宋_GB2312" w:hint="eastAsia"/>
        </w:rPr>
        <w:t>年）》，着力建设“新零售示范之城”。打造新零售创新创业平台，推动创新型企业集聚发展。大力发展新业态、新模式，鼓励利用</w:t>
      </w:r>
      <w:r>
        <w:rPr>
          <w:rFonts w:ascii="仿宋_GB2312" w:hAnsi="仿宋_GB2312" w:hint="eastAsia"/>
        </w:rPr>
        <w:t>5G</w:t>
      </w:r>
      <w:r>
        <w:rPr>
          <w:rFonts w:ascii="仿宋_GB2312" w:hAnsi="仿宋_GB2312" w:hint="eastAsia"/>
        </w:rPr>
        <w:t>、</w:t>
      </w:r>
      <w:r>
        <w:rPr>
          <w:rFonts w:ascii="仿宋_GB2312" w:hAnsi="仿宋_GB2312" w:hint="eastAsia"/>
        </w:rPr>
        <w:t>AR/VR</w:t>
      </w:r>
      <w:r>
        <w:rPr>
          <w:rFonts w:ascii="仿宋_GB2312" w:hAnsi="仿宋_GB2312" w:hint="eastAsia"/>
        </w:rPr>
        <w:t>、人工智能等技术推动智能化、无人化、数字化运营。探索推进各类消费业</w:t>
      </w:r>
      <w:proofErr w:type="gramStart"/>
      <w:r>
        <w:rPr>
          <w:rFonts w:ascii="仿宋_GB2312" w:hAnsi="仿宋_GB2312" w:hint="eastAsia"/>
        </w:rPr>
        <w:t>态创新</w:t>
      </w:r>
      <w:proofErr w:type="gramEnd"/>
      <w:r>
        <w:rPr>
          <w:rFonts w:ascii="仿宋_GB2312" w:hAnsi="仿宋_GB2312" w:hint="eastAsia"/>
        </w:rPr>
        <w:t>融合发展，举办新消费创新发展论坛和创新创业大赛，鼓励新零售企业展示创新成果、分享创新经验。支持各</w:t>
      </w:r>
      <w:proofErr w:type="gramStart"/>
      <w:r>
        <w:rPr>
          <w:rFonts w:ascii="仿宋_GB2312" w:hAnsi="仿宋_GB2312" w:hint="eastAsia"/>
        </w:rPr>
        <w:t>类创新业态首店</w:t>
      </w:r>
      <w:proofErr w:type="gramEnd"/>
      <w:r>
        <w:rPr>
          <w:rFonts w:ascii="仿宋_GB2312" w:hAnsi="仿宋_GB2312" w:hint="eastAsia"/>
        </w:rPr>
        <w:t>入驻各大重点商圈、商业街区。</w:t>
      </w:r>
      <w:r>
        <w:rPr>
          <w:rFonts w:ascii="仿宋_GB2312" w:hAnsi="仿宋_GB2312" w:hint="eastAsia"/>
        </w:rPr>
        <w:t>探索“元宇宙”新型消费模式，开设全景体验店、展示店，打造全方位、多场景、融入式购物体验。</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促进数字服务消费。</w:t>
      </w:r>
      <w:r>
        <w:rPr>
          <w:rFonts w:ascii="仿宋_GB2312" w:hAnsi="仿宋_GB2312" w:hint="eastAsia"/>
        </w:rPr>
        <w:t>依托“数字生活新服务”工</w:t>
      </w:r>
      <w:r>
        <w:rPr>
          <w:rFonts w:ascii="仿宋_GB2312" w:hAnsi="仿宋_GB2312" w:hint="eastAsia"/>
        </w:rPr>
        <w:t>程，推动家政服务业提质扩容，推广“安心找家政”场景及“家政安心码”应用，培育一批“领跑”和“三强”企业，支持发展母婴、</w:t>
      </w:r>
      <w:proofErr w:type="gramStart"/>
      <w:r>
        <w:rPr>
          <w:rFonts w:ascii="仿宋_GB2312" w:hAnsi="仿宋_GB2312" w:hint="eastAsia"/>
        </w:rPr>
        <w:t>病护等</w:t>
      </w:r>
      <w:proofErr w:type="gramEnd"/>
      <w:r>
        <w:rPr>
          <w:rFonts w:ascii="仿宋_GB2312" w:hAnsi="仿宋_GB2312" w:hint="eastAsia"/>
        </w:rPr>
        <w:t>服务类型。探索制定星级家政社区网点标准，分别认定、培育、建设一批“家政</w:t>
      </w:r>
      <w:r>
        <w:rPr>
          <w:rFonts w:ascii="仿宋_GB2312" w:hAnsi="仿宋_GB2312" w:hint="eastAsia"/>
        </w:rPr>
        <w:t>+</w:t>
      </w:r>
      <w:r>
        <w:rPr>
          <w:rFonts w:ascii="仿宋_GB2312" w:hAnsi="仿宋_GB2312" w:hint="eastAsia"/>
        </w:rPr>
        <w:t>”多场景星级社区网点。完善家政行业信用评价体系，探索建立全市统一的家政人员信用评价标准。推动“安心找家政”场景二期建设，探索与家政龙头企业平台及第三方家政平台上家政人员执业数据的互联互通。加强洗衣店信用体系建设，推动洗染行业数字化进程。布局数字体育、智慧场馆建设。大力发展互联网诊疗服务。打响杭州文化演艺曲目品牌。加</w:t>
      </w:r>
      <w:r>
        <w:rPr>
          <w:rFonts w:ascii="仿宋_GB2312" w:hAnsi="仿宋_GB2312" w:hint="eastAsia"/>
        </w:rPr>
        <w:t>快住宿餐饮行业数字化转型升级，发展依托互联网的外卖配送、网约车、即时递送、住宿共享等新业态。建立数字市民中心、数字生活城市，促进公共服务数字化。以</w:t>
      </w:r>
      <w:proofErr w:type="gramStart"/>
      <w:r>
        <w:rPr>
          <w:rFonts w:ascii="仿宋_GB2312" w:hAnsi="仿宋_GB2312" w:hint="eastAsia"/>
        </w:rPr>
        <w:t>电竞数娱</w:t>
      </w:r>
      <w:proofErr w:type="gramEnd"/>
      <w:r>
        <w:rPr>
          <w:rFonts w:ascii="仿宋_GB2312" w:hAnsi="仿宋_GB2312" w:hint="eastAsia"/>
        </w:rPr>
        <w:t>小镇等为依托，培育、</w:t>
      </w:r>
      <w:proofErr w:type="gramStart"/>
      <w:r>
        <w:rPr>
          <w:rFonts w:ascii="仿宋_GB2312" w:hAnsi="仿宋_GB2312" w:hint="eastAsia"/>
        </w:rPr>
        <w:t>引</w:t>
      </w:r>
      <w:r>
        <w:rPr>
          <w:rFonts w:ascii="仿宋_GB2312" w:hAnsi="仿宋_GB2312" w:hint="eastAsia"/>
        </w:rPr>
        <w:lastRenderedPageBreak/>
        <w:t>进电竞运营</w:t>
      </w:r>
      <w:proofErr w:type="gramEnd"/>
      <w:r>
        <w:rPr>
          <w:rFonts w:ascii="仿宋_GB2312" w:hAnsi="仿宋_GB2312" w:hint="eastAsia"/>
        </w:rPr>
        <w:t>机构，举办</w:t>
      </w:r>
      <w:proofErr w:type="gramStart"/>
      <w:r>
        <w:rPr>
          <w:rFonts w:ascii="仿宋_GB2312" w:hAnsi="仿宋_GB2312" w:hint="eastAsia"/>
        </w:rPr>
        <w:t>大型电竞比赛</w:t>
      </w:r>
      <w:proofErr w:type="gramEnd"/>
      <w:r>
        <w:rPr>
          <w:rFonts w:ascii="仿宋_GB2312" w:hAnsi="仿宋_GB2312" w:hint="eastAsia"/>
        </w:rPr>
        <w:t>。鼓励以互动化、社交化、多屏化为方向，开发</w:t>
      </w:r>
      <w:proofErr w:type="gramStart"/>
      <w:r>
        <w:rPr>
          <w:rFonts w:ascii="仿宋_GB2312" w:hAnsi="仿宋_GB2312" w:hint="eastAsia"/>
        </w:rPr>
        <w:t>沉浸式体感</w:t>
      </w:r>
      <w:proofErr w:type="gramEnd"/>
      <w:r>
        <w:rPr>
          <w:rFonts w:ascii="仿宋_GB2312" w:hAnsi="仿宋_GB2312" w:hint="eastAsia"/>
        </w:rPr>
        <w:t>游戏，支持游戏周边产品、智能硬件产品等研发推广。鼓励发展数字阅读、数字印刷、数字出版、点播等新型文化产业。</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建设消费数据中心。</w:t>
      </w:r>
      <w:r>
        <w:rPr>
          <w:rFonts w:ascii="仿宋_GB2312" w:hAnsi="仿宋_GB2312" w:hint="eastAsia"/>
        </w:rPr>
        <w:t>依托</w:t>
      </w:r>
      <w:r>
        <w:rPr>
          <w:rFonts w:ascii="仿宋_GB2312" w:hAnsi="仿宋_GB2312" w:hint="eastAsia"/>
        </w:rPr>
        <w:t>5G</w:t>
      </w:r>
      <w:r>
        <w:rPr>
          <w:rFonts w:ascii="仿宋_GB2312" w:hAnsi="仿宋_GB2312" w:hint="eastAsia"/>
        </w:rPr>
        <w:t>商用发展红利，支持数据中心、工业互联网、物联网等新型基础设施布局，优先覆盖核心商圈、重点产业园区、重要交通枢纽、主</w:t>
      </w:r>
      <w:r>
        <w:rPr>
          <w:rFonts w:ascii="仿宋_GB2312" w:hAnsi="仿宋_GB2312" w:hint="eastAsia"/>
        </w:rPr>
        <w:t>要应用场景等。鼓励平台、企业间的消费数据资源共享和挖掘，加大整合开发力度，有效破除数据壁垒和“孤岛”，打通传输应用堵点。加快区块链等技术在商品溯源、跨境汇款、供应</w:t>
      </w:r>
      <w:proofErr w:type="gramStart"/>
      <w:r>
        <w:rPr>
          <w:rFonts w:ascii="仿宋_GB2312" w:hAnsi="仿宋_GB2312" w:hint="eastAsia"/>
        </w:rPr>
        <w:t>链金融</w:t>
      </w:r>
      <w:proofErr w:type="gramEnd"/>
      <w:r>
        <w:rPr>
          <w:rFonts w:ascii="仿宋_GB2312" w:hAnsi="仿宋_GB2312" w:hint="eastAsia"/>
        </w:rPr>
        <w:t>和电子票据等领域应用。促进物流、信息流、资金流等集聚，推动杭州成为消费大数据集散中心，</w:t>
      </w:r>
      <w:proofErr w:type="gramStart"/>
      <w:r>
        <w:rPr>
          <w:rFonts w:ascii="仿宋_GB2312" w:hAnsi="仿宋_GB2312" w:hint="eastAsia"/>
        </w:rPr>
        <w:t>助力新型</w:t>
      </w:r>
      <w:proofErr w:type="gramEnd"/>
      <w:r>
        <w:rPr>
          <w:rFonts w:ascii="仿宋_GB2312" w:hAnsi="仿宋_GB2312" w:hint="eastAsia"/>
        </w:rPr>
        <w:t>消费中心城市建设。开展大数据技术支撑和服务输出，为周边地市提供大数据服务和发展咨询等业务，巩固杭州“长三角商贸数据集散中心”地位，提升在全国的影响力。</w:t>
      </w:r>
    </w:p>
    <w:p w:rsidR="00CD2EF2" w:rsidRDefault="003F5178" w:rsidP="00BA1400">
      <w:pPr>
        <w:snapToGrid w:val="0"/>
        <w:spacing w:line="336" w:lineRule="auto"/>
        <w:ind w:firstLineChars="200" w:firstLine="640"/>
        <w:rPr>
          <w:rFonts w:ascii="仿宋_GB2312" w:hAnsi="仿宋_GB2312"/>
        </w:rPr>
      </w:pPr>
      <w:r>
        <w:rPr>
          <w:rFonts w:ascii="仿宋_GB2312" w:hAnsi="仿宋_GB2312" w:hint="eastAsia"/>
          <w:spacing w:val="-3"/>
        </w:rPr>
        <w:t>4.</w:t>
      </w:r>
      <w:r>
        <w:rPr>
          <w:rFonts w:ascii="仿宋_GB2312" w:hAnsi="仿宋_GB2312" w:hint="eastAsia"/>
          <w:spacing w:val="-3"/>
        </w:rPr>
        <w:t>构建智慧供应链体系。</w:t>
      </w:r>
      <w:r>
        <w:rPr>
          <w:rFonts w:ascii="仿宋_GB2312" w:hAnsi="仿宋_GB2312" w:hint="eastAsia"/>
          <w:spacing w:val="-3"/>
        </w:rPr>
        <w:t>依托数字经济发展优势，以互联网、大数据、人工智能与实体经济深度融合为抓手，</w:t>
      </w:r>
      <w:r>
        <w:rPr>
          <w:rFonts w:ascii="仿宋_GB2312" w:hAnsi="仿宋_GB2312" w:hint="eastAsia"/>
          <w:spacing w:val="-3"/>
        </w:rPr>
        <w:t>大力打造数字化产业组织新模式。推动物流基地建设，鼓励各类企业积极构建现代供应链体系，支持核心企业上下游整合和物流装备智能化。支持制造业、流通业、农业等行业加强智慧化设备和技术的应用，推动生产运营向数字化、网络化、智能化转变。加强供应</w:t>
      </w:r>
      <w:proofErr w:type="gramStart"/>
      <w:r>
        <w:rPr>
          <w:rFonts w:ascii="仿宋_GB2312" w:hAnsi="仿宋_GB2312" w:hint="eastAsia"/>
          <w:spacing w:val="-3"/>
        </w:rPr>
        <w:t>链组织</w:t>
      </w:r>
      <w:proofErr w:type="gramEnd"/>
      <w:r>
        <w:rPr>
          <w:rFonts w:ascii="仿宋_GB2312" w:hAnsi="仿宋_GB2312" w:hint="eastAsia"/>
          <w:spacing w:val="-3"/>
        </w:rPr>
        <w:t>结构创新，对业务结构、资源流通与系统支撑进行优化，减少中间环节，构建扁平化供应链体系。支持商贸</w:t>
      </w:r>
      <w:r>
        <w:rPr>
          <w:rFonts w:ascii="仿宋_GB2312" w:hAnsi="仿宋_GB2312" w:hint="eastAsia"/>
          <w:spacing w:val="-3"/>
        </w:rPr>
        <w:lastRenderedPageBreak/>
        <w:t>流通龙头企业开拓“定需生产＋快速物流”模式。大力推进冷链物流发展，加强冷库建设规划，完善农产品冷链物流网络布局，加强对冷</w:t>
      </w:r>
      <w:proofErr w:type="gramStart"/>
      <w:r>
        <w:rPr>
          <w:rFonts w:ascii="仿宋_GB2312" w:hAnsi="仿宋_GB2312" w:hint="eastAsia"/>
          <w:spacing w:val="-3"/>
        </w:rPr>
        <w:t>链运输</w:t>
      </w:r>
      <w:proofErr w:type="gramEnd"/>
      <w:r>
        <w:rPr>
          <w:rFonts w:ascii="仿宋_GB2312" w:hAnsi="仿宋_GB2312" w:hint="eastAsia"/>
          <w:spacing w:val="-3"/>
        </w:rPr>
        <w:t>过程中的人员、物料、包装等环节的监管。鼓励行业龙头企业</w:t>
      </w:r>
      <w:r>
        <w:rPr>
          <w:rFonts w:ascii="仿宋_GB2312" w:hAnsi="仿宋_GB2312" w:hint="eastAsia"/>
          <w:spacing w:val="-3"/>
        </w:rPr>
        <w:t>带头开展绿色供应链建设，推动项目、企业和产业的清洁化、循环化、生态化改造。有序发展供应链金融，支持核心企业通过“</w:t>
      </w:r>
      <w:r>
        <w:rPr>
          <w:rFonts w:ascii="仿宋_GB2312" w:hAnsi="仿宋_GB2312" w:hint="eastAsia"/>
          <w:spacing w:val="-3"/>
        </w:rPr>
        <w:t>1+N</w:t>
      </w:r>
      <w:r>
        <w:rPr>
          <w:rFonts w:ascii="仿宋_GB2312" w:hAnsi="仿宋_GB2312" w:hint="eastAsia"/>
          <w:spacing w:val="-3"/>
        </w:rPr>
        <w:t>”供应</w:t>
      </w:r>
      <w:proofErr w:type="gramStart"/>
      <w:r>
        <w:rPr>
          <w:rFonts w:ascii="仿宋_GB2312" w:hAnsi="仿宋_GB2312" w:hint="eastAsia"/>
          <w:spacing w:val="-3"/>
        </w:rPr>
        <w:t>链金融</w:t>
      </w:r>
      <w:proofErr w:type="gramEnd"/>
      <w:r>
        <w:rPr>
          <w:rFonts w:ascii="仿宋_GB2312" w:hAnsi="仿宋_GB2312" w:hint="eastAsia"/>
          <w:spacing w:val="-3"/>
        </w:rPr>
        <w:t>模式，对链上企业提供信贷、结算、科技平台等综合化金融服务，构建生产、贸易、物流等全程综合金融支持体系。构建</w:t>
      </w:r>
      <w:r>
        <w:rPr>
          <w:rFonts w:ascii="仿宋_GB2312" w:hAnsi="仿宋_GB2312" w:hint="eastAsia"/>
          <w:spacing w:val="-3"/>
        </w:rPr>
        <w:t>10</w:t>
      </w:r>
      <w:r>
        <w:rPr>
          <w:rFonts w:ascii="仿宋_GB2312" w:hAnsi="仿宋_GB2312" w:hint="eastAsia"/>
          <w:spacing w:val="-3"/>
        </w:rPr>
        <w:t>个以上全国领先的数字化供应链协同平台和公共服务平台，培育</w:t>
      </w:r>
      <w:r>
        <w:rPr>
          <w:rFonts w:ascii="仿宋_GB2312" w:hAnsi="仿宋_GB2312" w:hint="eastAsia"/>
          <w:spacing w:val="-3"/>
        </w:rPr>
        <w:t>10</w:t>
      </w:r>
      <w:r>
        <w:rPr>
          <w:rFonts w:ascii="仿宋_GB2312" w:hAnsi="仿宋_GB2312" w:hint="eastAsia"/>
          <w:spacing w:val="-3"/>
        </w:rPr>
        <w:t>家以上具备全国乃至全球影响力的供应链龙头企业。</w:t>
      </w:r>
    </w:p>
    <w:p w:rsidR="00CD2EF2" w:rsidRDefault="003F5178" w:rsidP="00BA1400">
      <w:pPr>
        <w:snapToGrid w:val="0"/>
        <w:spacing w:line="336" w:lineRule="auto"/>
        <w:ind w:firstLineChars="200" w:firstLine="628"/>
        <w:rPr>
          <w:rFonts w:eastAsia="楷体_GB2312"/>
        </w:rPr>
      </w:pPr>
      <w:r>
        <w:rPr>
          <w:rFonts w:eastAsia="楷体_GB2312" w:hint="eastAsia"/>
        </w:rPr>
        <w:t>（三）</w:t>
      </w:r>
      <w:r>
        <w:rPr>
          <w:rFonts w:eastAsia="楷体_GB2312" w:hint="eastAsia"/>
        </w:rPr>
        <w:t>推动展示消费新魅力，促进消费需求潜力释放。</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有序发展夜间经济。</w:t>
      </w:r>
      <w:r>
        <w:rPr>
          <w:rFonts w:ascii="仿宋_GB2312" w:hAnsi="仿宋_GB2312" w:hint="eastAsia"/>
        </w:rPr>
        <w:t>鼓励各商业街区引入夜间经济形态，完善夜间服务功能，提升夜间经济品质，打造夜间经济地标，形成一批餐饮集聚型、文体消费型、百姓生活型等夜间经济集聚区。打造购物、餐饮相结合的夜间消费形式，支持各区、县（市）结合实际，因地制宜建设美食街、创意集市、夜市、茶楼茶室等，鼓励各地特色小吃、名菜入驻，试点设立分时段步行街。支持融合西湖、西溪、运河、古镇、钱塘江的夜游模式，</w:t>
      </w:r>
      <w:r>
        <w:rPr>
          <w:rFonts w:ascii="仿宋_GB2312" w:hAnsi="仿宋_GB2312" w:hint="eastAsia"/>
          <w:spacing w:val="-9"/>
        </w:rPr>
        <w:t>推动商旅文联动，打造夜间消费“文旅</w:t>
      </w:r>
      <w:r>
        <w:rPr>
          <w:rFonts w:ascii="仿宋_GB2312" w:hAnsi="仿宋_GB2312" w:hint="eastAsia"/>
          <w:spacing w:val="-9"/>
        </w:rPr>
        <w:t>IP</w:t>
      </w:r>
      <w:r>
        <w:rPr>
          <w:rFonts w:ascii="仿宋_GB2312" w:hAnsi="仿宋_GB2312" w:hint="eastAsia"/>
          <w:spacing w:val="-9"/>
        </w:rPr>
        <w:t>”，形成知名打卡地，打响“忆江南</w:t>
      </w:r>
      <w:r>
        <w:rPr>
          <w:rFonts w:ascii="仿宋_GB2312" w:hAnsi="仿宋_GB2312" w:hint="eastAsia"/>
        </w:rPr>
        <w:t>·</w:t>
      </w:r>
      <w:r>
        <w:rPr>
          <w:rFonts w:ascii="仿宋_GB2312" w:hAnsi="仿宋_GB2312" w:hint="eastAsia"/>
          <w:spacing w:val="-9"/>
        </w:rPr>
        <w:t>夜杭州”品牌。</w:t>
      </w:r>
      <w:r>
        <w:rPr>
          <w:rFonts w:ascii="仿宋_GB2312" w:hAnsi="仿宋_GB2312" w:hint="eastAsia"/>
        </w:rPr>
        <w:t>大力支持夜间经济“</w:t>
      </w:r>
      <w:r>
        <w:rPr>
          <w:rFonts w:ascii="仿宋_GB2312" w:hAnsi="仿宋_GB2312" w:hint="eastAsia"/>
        </w:rPr>
        <w:t>10+X</w:t>
      </w:r>
      <w:r>
        <w:rPr>
          <w:rFonts w:ascii="仿宋_GB2312" w:hAnsi="仿宋_GB2312" w:hint="eastAsia"/>
        </w:rPr>
        <w:t>”布局，推进“十字金街”等新兴夜间经济集聚</w:t>
      </w:r>
      <w:r>
        <w:rPr>
          <w:rFonts w:ascii="仿宋_GB2312" w:hAnsi="仿宋_GB2312" w:hint="eastAsia"/>
        </w:rPr>
        <w:t>区发展。支持各大综合体、各类商户、博物馆、展览馆、图书馆等延长夜晚营业时间，鼓励开设</w:t>
      </w:r>
      <w:r>
        <w:rPr>
          <w:rFonts w:ascii="仿宋_GB2312" w:hAnsi="仿宋_GB2312" w:hint="eastAsia"/>
        </w:rPr>
        <w:t>24</w:t>
      </w:r>
      <w:r>
        <w:rPr>
          <w:rFonts w:ascii="仿宋_GB2312" w:hAnsi="仿宋_GB2312" w:hint="eastAsia"/>
        </w:rPr>
        <w:t>小时便利</w:t>
      </w:r>
      <w:r>
        <w:rPr>
          <w:rFonts w:ascii="仿宋_GB2312" w:hAnsi="仿宋_GB2312" w:hint="eastAsia"/>
        </w:rPr>
        <w:lastRenderedPageBreak/>
        <w:t>店。</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365"/>
        <w:gridCol w:w="5922"/>
      </w:tblGrid>
      <w:tr w:rsidR="00CD2EF2">
        <w:trPr>
          <w:trHeight w:val="680"/>
          <w:jc w:val="center"/>
        </w:trPr>
        <w:tc>
          <w:tcPr>
            <w:tcW w:w="88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napToGrid/>
              <w:spacing w:line="240" w:lineRule="atLeast"/>
              <w:ind w:firstLineChars="0" w:firstLine="0"/>
              <w:jc w:val="center"/>
              <w:rPr>
                <w:rFonts w:ascii="黑体" w:eastAsia="黑体" w:hAnsi="黑体"/>
                <w:spacing w:val="-6"/>
                <w:sz w:val="30"/>
              </w:rPr>
            </w:pPr>
            <w:r>
              <w:rPr>
                <w:rFonts w:ascii="黑体" w:eastAsia="黑体" w:hAnsi="黑体" w:hint="eastAsia"/>
                <w:spacing w:val="-6"/>
                <w:sz w:val="28"/>
                <w:szCs w:val="28"/>
              </w:rPr>
              <w:t>专栏</w:t>
            </w:r>
            <w:r>
              <w:rPr>
                <w:rFonts w:ascii="黑体" w:eastAsia="黑体" w:hAnsi="黑体" w:hint="eastAsia"/>
                <w:spacing w:val="-6"/>
                <w:sz w:val="28"/>
                <w:szCs w:val="28"/>
              </w:rPr>
              <w:t xml:space="preserve">1  </w:t>
            </w:r>
            <w:r>
              <w:rPr>
                <w:rFonts w:ascii="黑体" w:eastAsia="黑体" w:hAnsi="黑体" w:hint="eastAsia"/>
                <w:spacing w:val="-6"/>
                <w:sz w:val="28"/>
                <w:szCs w:val="28"/>
              </w:rPr>
              <w:t>夜间经济发展</w:t>
            </w:r>
            <w:r>
              <w:rPr>
                <w:rFonts w:ascii="黑体" w:eastAsia="黑体" w:hAnsi="黑体" w:hint="eastAsia"/>
                <w:spacing w:val="-6"/>
                <w:sz w:val="28"/>
                <w:szCs w:val="28"/>
              </w:rPr>
              <w:t>“</w:t>
            </w:r>
            <w:r>
              <w:rPr>
                <w:rFonts w:ascii="黑体" w:eastAsia="黑体" w:hAnsi="黑体" w:hint="eastAsia"/>
                <w:spacing w:val="-6"/>
                <w:sz w:val="28"/>
                <w:szCs w:val="28"/>
              </w:rPr>
              <w:t>10+X</w:t>
            </w:r>
            <w:r>
              <w:rPr>
                <w:rFonts w:ascii="黑体" w:eastAsia="黑体" w:hAnsi="黑体" w:hint="eastAsia"/>
                <w:spacing w:val="-6"/>
                <w:sz w:val="28"/>
                <w:szCs w:val="28"/>
              </w:rPr>
              <w:t>”布局</w:t>
            </w:r>
          </w:p>
        </w:tc>
      </w:tr>
      <w:tr w:rsidR="00CD2EF2">
        <w:trPr>
          <w:trHeight w:val="573"/>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夜地标名称</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w:t>
            </w:r>
            <w:r>
              <w:rPr>
                <w:rFonts w:ascii="黑体" w:eastAsia="黑体" w:hAnsi="黑体" w:hint="eastAsia"/>
                <w:sz w:val="24"/>
              </w:rPr>
              <w:t xml:space="preserve"> </w:t>
            </w:r>
            <w:r>
              <w:rPr>
                <w:rFonts w:ascii="黑体" w:eastAsia="黑体" w:hAnsi="黑体" w:hint="eastAsia"/>
                <w:sz w:val="24"/>
              </w:rPr>
              <w:t>点</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r>
      <w:tr w:rsidR="00CD2EF2">
        <w:trPr>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延安路特色商业夜地标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持续优化湖滨步行街业态布局，推进武林商圈智慧化改造，打造湖滨展销、游憩、体验一体化夜地标，探索杭州大厦中央商城</w:t>
            </w:r>
            <w:r>
              <w:rPr>
                <w:rFonts w:ascii="仿宋_GB2312" w:hAnsi="仿宋_GB2312" w:hint="eastAsia"/>
                <w:sz w:val="24"/>
              </w:rPr>
              <w:t>24</w:t>
            </w:r>
            <w:r>
              <w:rPr>
                <w:rFonts w:ascii="仿宋_GB2312" w:hAnsi="仿宋_GB2312" w:hint="eastAsia"/>
                <w:sz w:val="24"/>
              </w:rPr>
              <w:t>小时营业模式，将嘉里中心</w:t>
            </w:r>
            <w:proofErr w:type="gramStart"/>
            <w:r>
              <w:rPr>
                <w:rFonts w:ascii="仿宋_GB2312" w:hAnsi="仿宋_GB2312" w:hint="eastAsia"/>
                <w:sz w:val="24"/>
              </w:rPr>
              <w:t>建设成杭城</w:t>
            </w:r>
            <w:proofErr w:type="gramEnd"/>
            <w:r>
              <w:rPr>
                <w:rFonts w:ascii="仿宋_GB2312" w:hAnsi="仿宋_GB2312" w:hint="eastAsia"/>
                <w:sz w:val="24"/>
              </w:rPr>
              <w:t>潮流地标。</w:t>
            </w:r>
          </w:p>
        </w:tc>
      </w:tr>
      <w:tr w:rsidR="00CD2EF2">
        <w:trPr>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运河文化夜地标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常态</w:t>
            </w:r>
            <w:proofErr w:type="gramStart"/>
            <w:r>
              <w:rPr>
                <w:rFonts w:ascii="仿宋_GB2312" w:hAnsi="仿宋_GB2312" w:hint="eastAsia"/>
                <w:sz w:val="24"/>
              </w:rPr>
              <w:t>化推动</w:t>
            </w:r>
            <w:proofErr w:type="gramEnd"/>
            <w:r>
              <w:rPr>
                <w:rFonts w:ascii="仿宋_GB2312" w:hAnsi="仿宋_GB2312" w:hint="eastAsia"/>
                <w:sz w:val="24"/>
              </w:rPr>
              <w:t>“夜游运河”项目，</w:t>
            </w:r>
            <w:proofErr w:type="gramStart"/>
            <w:r>
              <w:rPr>
                <w:rFonts w:ascii="仿宋_GB2312" w:hAnsi="仿宋_GB2312" w:hint="eastAsia"/>
                <w:sz w:val="24"/>
              </w:rPr>
              <w:t>提升乐堤港</w:t>
            </w:r>
            <w:proofErr w:type="gramEnd"/>
            <w:r>
              <w:rPr>
                <w:rFonts w:ascii="仿宋_GB2312" w:hAnsi="仿宋_GB2312" w:hint="eastAsia"/>
                <w:sz w:val="24"/>
              </w:rPr>
              <w:t>、胜利河美食街、万达金街、银</w:t>
            </w:r>
            <w:proofErr w:type="gramStart"/>
            <w:r>
              <w:rPr>
                <w:rFonts w:ascii="仿宋_GB2312" w:hAnsi="仿宋_GB2312" w:hint="eastAsia"/>
                <w:sz w:val="24"/>
              </w:rPr>
              <w:t>泰城酒吧</w:t>
            </w:r>
            <w:proofErr w:type="gramEnd"/>
            <w:r>
              <w:rPr>
                <w:rFonts w:ascii="仿宋_GB2312" w:hAnsi="仿宋_GB2312" w:hint="eastAsia"/>
                <w:sz w:val="24"/>
              </w:rPr>
              <w:t>街、桥西直街、小河直街、大兜路、大悦</w:t>
            </w:r>
            <w:proofErr w:type="gramStart"/>
            <w:r>
              <w:rPr>
                <w:rFonts w:ascii="仿宋_GB2312" w:hAnsi="仿宋_GB2312" w:hint="eastAsia"/>
                <w:sz w:val="24"/>
              </w:rPr>
              <w:t>城悦街</w:t>
            </w:r>
            <w:proofErr w:type="gramEnd"/>
            <w:r>
              <w:rPr>
                <w:rFonts w:ascii="仿宋_GB2312" w:hAnsi="仿宋_GB2312" w:hint="eastAsia"/>
                <w:sz w:val="24"/>
              </w:rPr>
              <w:t>、塘栖老街、运河集市等“七街一市”业态。</w:t>
            </w:r>
          </w:p>
        </w:tc>
      </w:tr>
      <w:tr w:rsidR="00CD2EF2">
        <w:trPr>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南宋文化夜地标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加快清河坊步行街改造提升工程（二期），提升南宋御</w:t>
            </w:r>
            <w:proofErr w:type="gramStart"/>
            <w:r>
              <w:rPr>
                <w:rFonts w:ascii="仿宋_GB2312" w:hAnsi="仿宋_GB2312" w:hint="eastAsia"/>
                <w:sz w:val="24"/>
              </w:rPr>
              <w:t>街旅游</w:t>
            </w:r>
            <w:proofErr w:type="gramEnd"/>
            <w:r>
              <w:rPr>
                <w:rFonts w:ascii="仿宋_GB2312" w:hAnsi="仿宋_GB2312" w:hint="eastAsia"/>
                <w:sz w:val="24"/>
              </w:rPr>
              <w:t>购物环境，展现高银街美食集聚区风采，培育中山中路</w:t>
            </w:r>
            <w:proofErr w:type="gramStart"/>
            <w:r>
              <w:rPr>
                <w:rFonts w:ascii="仿宋_GB2312" w:hAnsi="仿宋_GB2312" w:hint="eastAsia"/>
                <w:sz w:val="24"/>
              </w:rPr>
              <w:t>漫生活</w:t>
            </w:r>
            <w:proofErr w:type="gramEnd"/>
            <w:r>
              <w:rPr>
                <w:rFonts w:ascii="仿宋_GB2312" w:hAnsi="仿宋_GB2312" w:hint="eastAsia"/>
                <w:sz w:val="24"/>
              </w:rPr>
              <w:t>休闲业态。</w:t>
            </w:r>
          </w:p>
        </w:tc>
      </w:tr>
      <w:tr w:rsidR="00CD2EF2">
        <w:trPr>
          <w:trHeight w:val="828"/>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西湖美景夜地标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依托灯光秀、音乐喷泉、《最忆是杭州》等视听盛宴，提升南山路、北山路特色风情，打造夜游西湖新方式。</w:t>
            </w:r>
          </w:p>
        </w:tc>
      </w:tr>
      <w:tr w:rsidR="00CD2EF2">
        <w:trPr>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钱塘江两岸夜地标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依托钱江新城灯光秀，推动</w:t>
            </w:r>
            <w:proofErr w:type="gramStart"/>
            <w:r>
              <w:rPr>
                <w:rFonts w:ascii="仿宋_GB2312" w:hAnsi="仿宋_GB2312" w:hint="eastAsia"/>
                <w:sz w:val="24"/>
              </w:rPr>
              <w:t>十字金街迭代</w:t>
            </w:r>
            <w:proofErr w:type="gramEnd"/>
            <w:r>
              <w:rPr>
                <w:rFonts w:ascii="仿宋_GB2312" w:hAnsi="仿宋_GB2312" w:hint="eastAsia"/>
                <w:sz w:val="24"/>
              </w:rPr>
              <w:t>升级，优化钱塘江两岸夜间景观设计，挖掘钱江新城地下通道和空中连廊空间，实现十字金街、城市阳台、新塘河、江河</w:t>
            </w:r>
            <w:proofErr w:type="gramStart"/>
            <w:r>
              <w:rPr>
                <w:rFonts w:ascii="仿宋_GB2312" w:hAnsi="仿宋_GB2312" w:hint="eastAsia"/>
                <w:sz w:val="24"/>
              </w:rPr>
              <w:t>汇空间</w:t>
            </w:r>
            <w:proofErr w:type="gramEnd"/>
            <w:r>
              <w:rPr>
                <w:rFonts w:ascii="仿宋_GB2312" w:hAnsi="仿宋_GB2312" w:hint="eastAsia"/>
                <w:sz w:val="24"/>
              </w:rPr>
              <w:t>立体交互，充分</w:t>
            </w:r>
            <w:proofErr w:type="gramStart"/>
            <w:r>
              <w:rPr>
                <w:rFonts w:ascii="仿宋_GB2312" w:hAnsi="仿宋_GB2312" w:hint="eastAsia"/>
                <w:sz w:val="24"/>
              </w:rPr>
              <w:t>利用好奥体</w:t>
            </w:r>
            <w:proofErr w:type="gramEnd"/>
            <w:r>
              <w:rPr>
                <w:rFonts w:ascii="仿宋_GB2312" w:hAnsi="仿宋_GB2312" w:hint="eastAsia"/>
                <w:sz w:val="24"/>
              </w:rPr>
              <w:t>中心、樱花跑道、游船码头等景观资源，重塑“钱塘江夜游”品牌。</w:t>
            </w:r>
          </w:p>
        </w:tc>
      </w:tr>
      <w:tr w:rsidR="00CD2EF2">
        <w:trPr>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下沙大学城夜地标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培育夜学、夜娱等学生消费，激发学生创意创造，鼓励学生创新创业，打造特色夜市。</w:t>
            </w:r>
          </w:p>
        </w:tc>
      </w:tr>
      <w:tr w:rsidR="00CD2EF2">
        <w:trPr>
          <w:trHeight w:val="798"/>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临平韵味夜地标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串联迎宾路沿线临平银泰城、余之城等商业圈，聚焦街景打造、装饰照明、标识指引，扮</w:t>
            </w:r>
            <w:proofErr w:type="gramStart"/>
            <w:r>
              <w:rPr>
                <w:rFonts w:ascii="仿宋_GB2312" w:hAnsi="仿宋_GB2312" w:hint="eastAsia"/>
                <w:sz w:val="24"/>
              </w:rPr>
              <w:t>靓商业</w:t>
            </w:r>
            <w:proofErr w:type="gramEnd"/>
            <w:r>
              <w:rPr>
                <w:rFonts w:ascii="仿宋_GB2312" w:hAnsi="仿宋_GB2312" w:hint="eastAsia"/>
                <w:sz w:val="24"/>
              </w:rPr>
              <w:t>气氛。</w:t>
            </w:r>
          </w:p>
        </w:tc>
      </w:tr>
      <w:tr w:rsidR="00CD2EF2">
        <w:trPr>
          <w:trHeight w:val="783"/>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湘湖逍遥夜地标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开发和丰富湘湖夜游项目，依托湘湖逍遥山庄、湘</w:t>
            </w:r>
            <w:proofErr w:type="gramStart"/>
            <w:r>
              <w:rPr>
                <w:rFonts w:ascii="仿宋_GB2312" w:hAnsi="仿宋_GB2312" w:hint="eastAsia"/>
                <w:sz w:val="24"/>
              </w:rPr>
              <w:t>湖慢生活街</w:t>
            </w:r>
            <w:proofErr w:type="gramEnd"/>
            <w:r>
              <w:rPr>
                <w:rFonts w:ascii="仿宋_GB2312" w:hAnsi="仿宋_GB2312" w:hint="eastAsia"/>
                <w:sz w:val="24"/>
              </w:rPr>
              <w:t>，发展区域夜间旅游产品。</w:t>
            </w:r>
          </w:p>
        </w:tc>
      </w:tr>
      <w:tr w:rsidR="00CD2EF2">
        <w:trPr>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千岛</w:t>
            </w:r>
            <w:proofErr w:type="gramStart"/>
            <w:r>
              <w:rPr>
                <w:rFonts w:ascii="仿宋_GB2312" w:hAnsi="仿宋_GB2312" w:hint="eastAsia"/>
                <w:sz w:val="24"/>
              </w:rPr>
              <w:t>湖活力夜</w:t>
            </w:r>
            <w:proofErr w:type="gramEnd"/>
            <w:r>
              <w:rPr>
                <w:rFonts w:ascii="仿宋_GB2312" w:hAnsi="仿宋_GB2312" w:hint="eastAsia"/>
                <w:sz w:val="24"/>
              </w:rPr>
              <w:t>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整合景区、酒店、餐饮、特产和服务设施等旅游资源，定期举办美食节、音乐节等夜间主题活动。</w:t>
            </w:r>
          </w:p>
        </w:tc>
      </w:tr>
      <w:tr w:rsidR="00CD2EF2">
        <w:trPr>
          <w:trHeight w:val="798"/>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新安江梦幻夜地标</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以双江特色街和新安江梦幻</w:t>
            </w:r>
            <w:r>
              <w:rPr>
                <w:rFonts w:ascii="仿宋_GB2312" w:hAnsi="仿宋_GB2312" w:hint="eastAsia"/>
                <w:sz w:val="24"/>
              </w:rPr>
              <w:t>17</w:t>
            </w:r>
            <w:r>
              <w:rPr>
                <w:rFonts w:ascii="仿宋_GB2312" w:hAnsi="仿宋_GB2312" w:hint="eastAsia"/>
                <w:sz w:val="24"/>
              </w:rPr>
              <w:t>号夜游船、《江清月近人》演出等为支撑，刺激夜间购物、文化、旅游消费。</w:t>
            </w:r>
          </w:p>
        </w:tc>
      </w:tr>
      <w:tr w:rsidR="00CD2EF2">
        <w:trPr>
          <w:trHeight w:val="798"/>
          <w:jc w:val="center"/>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区、县（市）自选（</w:t>
            </w:r>
            <w:r>
              <w:rPr>
                <w:rFonts w:ascii="仿宋_GB2312" w:hAnsi="仿宋_GB2312" w:hint="eastAsia"/>
                <w:sz w:val="24"/>
              </w:rPr>
              <w:t>X</w:t>
            </w:r>
            <w:r>
              <w:rPr>
                <w:rFonts w:ascii="仿宋_GB2312" w:hAnsi="仿宋_GB2312" w:hint="eastAsia"/>
                <w:sz w:val="24"/>
              </w:rPr>
              <w:t>）</w:t>
            </w:r>
          </w:p>
        </w:tc>
        <w:tc>
          <w:tcPr>
            <w:tcW w:w="62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鼓励各区、县（市）结合现有条件及目标计划，积极打造具有区域特色的夜地标。</w:t>
            </w:r>
          </w:p>
        </w:tc>
      </w:tr>
      <w:tr w:rsidR="00CD2EF2">
        <w:trPr>
          <w:trHeight w:val="841"/>
          <w:jc w:val="center"/>
        </w:trPr>
        <w:tc>
          <w:tcPr>
            <w:tcW w:w="88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8"/>
                <w:szCs w:val="28"/>
              </w:rPr>
            </w:pPr>
            <w:r>
              <w:rPr>
                <w:rFonts w:ascii="黑体" w:eastAsia="黑体" w:hAnsi="黑体" w:cs="黑体" w:hint="eastAsia"/>
                <w:sz w:val="28"/>
                <w:szCs w:val="28"/>
              </w:rPr>
              <w:lastRenderedPageBreak/>
              <w:t>专栏</w:t>
            </w:r>
            <w:r>
              <w:rPr>
                <w:rFonts w:ascii="黑体" w:eastAsia="黑体" w:hAnsi="黑体" w:cs="黑体" w:hint="eastAsia"/>
                <w:sz w:val="28"/>
                <w:szCs w:val="28"/>
              </w:rPr>
              <w:t xml:space="preserve">2  </w:t>
            </w:r>
            <w:r>
              <w:rPr>
                <w:rFonts w:ascii="黑体" w:eastAsia="黑体" w:hAnsi="黑体" w:cs="黑体" w:hint="eastAsia"/>
                <w:sz w:val="28"/>
                <w:szCs w:val="28"/>
              </w:rPr>
              <w:t>夜间经济发展六大主要业态</w:t>
            </w:r>
          </w:p>
        </w:tc>
      </w:tr>
      <w:tr w:rsidR="00CD2EF2">
        <w:trPr>
          <w:trHeight w:val="567"/>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主要业态</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w:t>
            </w:r>
            <w:r>
              <w:rPr>
                <w:rFonts w:ascii="黑体" w:eastAsia="黑体" w:hAnsi="黑体" w:hint="eastAsia"/>
                <w:sz w:val="24"/>
              </w:rPr>
              <w:t xml:space="preserve"> </w:t>
            </w:r>
            <w:r>
              <w:rPr>
                <w:rFonts w:ascii="黑体" w:eastAsia="黑体" w:hAnsi="黑体" w:hint="eastAsia"/>
                <w:sz w:val="24"/>
              </w:rPr>
              <w:t>点</w:t>
            </w:r>
            <w:r>
              <w:rPr>
                <w:rFonts w:ascii="黑体" w:eastAsia="黑体" w:hAnsi="黑体" w:hint="eastAsia"/>
                <w:sz w:val="24"/>
              </w:rPr>
              <w:t xml:space="preserve"> </w:t>
            </w:r>
            <w:r>
              <w:rPr>
                <w:rFonts w:ascii="黑体" w:eastAsia="黑体" w:hAnsi="黑体" w:hint="eastAsia"/>
                <w:sz w:val="24"/>
              </w:rPr>
              <w:t>工</w:t>
            </w:r>
            <w:r>
              <w:rPr>
                <w:rFonts w:ascii="黑体" w:eastAsia="黑体" w:hAnsi="黑体" w:hint="eastAsia"/>
                <w:sz w:val="24"/>
              </w:rPr>
              <w:t xml:space="preserve"> </w:t>
            </w:r>
            <w:r>
              <w:rPr>
                <w:rFonts w:ascii="黑体" w:eastAsia="黑体" w:hAnsi="黑体" w:hint="eastAsia"/>
                <w:sz w:val="24"/>
              </w:rPr>
              <w:t>作</w:t>
            </w:r>
          </w:p>
        </w:tc>
      </w:tr>
      <w:tr w:rsidR="00CD2EF2">
        <w:trPr>
          <w:trHeight w:val="1180"/>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时尚“夜购物”</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依托重点商圈，支持综合体、商业特色街提升夜间购物便利度和体验感。鼓励</w:t>
            </w:r>
            <w:r>
              <w:rPr>
                <w:rFonts w:hint="eastAsia"/>
                <w:sz w:val="24"/>
              </w:rPr>
              <w:t>生活品牌塑造商</w:t>
            </w:r>
            <w:r>
              <w:rPr>
                <w:rFonts w:hint="eastAsia"/>
                <w:sz w:val="24"/>
              </w:rPr>
              <w:t>、传统夜市、创意市集等发展。</w:t>
            </w:r>
          </w:p>
        </w:tc>
      </w:tr>
      <w:tr w:rsidR="00CD2EF2">
        <w:trPr>
          <w:trHeight w:val="1003"/>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风味“夜食堂”</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推出杭州特色美食夜食堂，改造、提升、新建餐饮主题街，</w:t>
            </w:r>
            <w:proofErr w:type="gramStart"/>
            <w:r>
              <w:rPr>
                <w:rFonts w:hint="eastAsia"/>
                <w:sz w:val="24"/>
              </w:rPr>
              <w:t>做优杭州</w:t>
            </w:r>
            <w:proofErr w:type="gramEnd"/>
            <w:r>
              <w:rPr>
                <w:rFonts w:hint="eastAsia"/>
                <w:sz w:val="24"/>
              </w:rPr>
              <w:t>特色小吃品牌。</w:t>
            </w:r>
          </w:p>
        </w:tc>
      </w:tr>
      <w:tr w:rsidR="00CD2EF2">
        <w:trPr>
          <w:trHeight w:val="1134"/>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特色“夜旅游”</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打造“一地一品”的夜间水上旅游产品。提升酒店服务品质，扶持精品民宿发展，推出非遗体验等产品，发展“过夜游”。</w:t>
            </w:r>
          </w:p>
        </w:tc>
      </w:tr>
      <w:tr w:rsidR="00CD2EF2">
        <w:trPr>
          <w:trHeight w:val="1086"/>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多元“夜文化”</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推出各类文化表演，建设夜校、成人大学、社区书屋等，开展夜间读书、培训、科普等活动。</w:t>
            </w:r>
          </w:p>
        </w:tc>
      </w:tr>
      <w:tr w:rsidR="00CD2EF2">
        <w:trPr>
          <w:trHeight w:val="1505"/>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品质“夜娱乐”</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鼓励各类娱乐场所延长营业时间，提升营业质量。面对年轻消费群体，打造</w:t>
            </w:r>
            <w:proofErr w:type="gramStart"/>
            <w:r>
              <w:rPr>
                <w:rFonts w:hint="eastAsia"/>
                <w:sz w:val="24"/>
              </w:rPr>
              <w:t>夜间潮玩聚集</w:t>
            </w:r>
            <w:proofErr w:type="gramEnd"/>
            <w:r>
              <w:rPr>
                <w:rFonts w:hint="eastAsia"/>
                <w:sz w:val="24"/>
              </w:rPr>
              <w:t>区。依托旅游资源和数字技术，打造沉浸式文娱产品和项目。</w:t>
            </w:r>
          </w:p>
        </w:tc>
      </w:tr>
      <w:tr w:rsidR="00CD2EF2">
        <w:trPr>
          <w:trHeight w:val="1155"/>
          <w:jc w:val="center"/>
        </w:trPr>
        <w:tc>
          <w:tcPr>
            <w:tcW w:w="29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全民“夜健身”</w:t>
            </w:r>
          </w:p>
        </w:tc>
        <w:tc>
          <w:tcPr>
            <w:tcW w:w="5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利用各类体育设施，引导市民开展夜间体育健身活动，推动夜间健身休闲消费。鼓励社会组织、团体举办夜间体育赛事，丰富居民体育活动。</w:t>
            </w:r>
          </w:p>
        </w:tc>
      </w:tr>
    </w:tbl>
    <w:p w:rsidR="00CD2EF2" w:rsidRDefault="003F5178" w:rsidP="00BA1400">
      <w:pPr>
        <w:adjustRightInd w:val="0"/>
        <w:snapToGrid w:val="0"/>
        <w:spacing w:beforeLines="50" w:before="295" w:line="336" w:lineRule="auto"/>
        <w:ind w:firstLineChars="200" w:firstLine="628"/>
      </w:pPr>
      <w:r>
        <w:rPr>
          <w:rFonts w:ascii="仿宋_GB2312" w:hAnsi="仿宋_GB2312" w:hint="eastAsia"/>
        </w:rPr>
        <w:t>2.</w:t>
      </w:r>
      <w:r>
        <w:rPr>
          <w:rFonts w:ascii="仿宋_GB2312" w:hAnsi="仿宋_GB2312" w:hint="eastAsia"/>
        </w:rPr>
        <w:t>推动商旅文体融合发展。</w:t>
      </w:r>
      <w:r>
        <w:rPr>
          <w:rFonts w:ascii="仿宋_GB2312" w:hAnsi="仿宋_GB2312" w:hint="eastAsia"/>
        </w:rPr>
        <w:t>集聚国际国内各类特色餐饮服务资源，积极参选米其林、黑珍珠等国际国内有影响力的餐饮榜单，力争引进米其</w:t>
      </w:r>
      <w:proofErr w:type="gramStart"/>
      <w:r>
        <w:rPr>
          <w:rFonts w:ascii="仿宋_GB2312" w:hAnsi="仿宋_GB2312" w:hint="eastAsia"/>
        </w:rPr>
        <w:t>林评价</w:t>
      </w:r>
      <w:proofErr w:type="gramEnd"/>
      <w:r>
        <w:rPr>
          <w:rFonts w:ascii="仿宋_GB2312" w:hAnsi="仿宋_GB2312" w:hint="eastAsia"/>
        </w:rPr>
        <w:t>体系，深化“世界美食名城”建设。持续举办</w:t>
      </w:r>
      <w:proofErr w:type="gramStart"/>
      <w:r>
        <w:rPr>
          <w:rFonts w:ascii="仿宋_GB2312" w:hAnsi="仿宋_GB2312" w:hint="eastAsia"/>
        </w:rPr>
        <w:t>动漫节</w:t>
      </w:r>
      <w:proofErr w:type="gramEnd"/>
      <w:r>
        <w:rPr>
          <w:rFonts w:ascii="仿宋_GB2312" w:hAnsi="仿宋_GB2312" w:hint="eastAsia"/>
        </w:rPr>
        <w:t>和美食文化、数字经济、电子商务、新零售等各类博览会、交流论坛等。依托西湖、京杭大运河、良渚古城遗址三大世界文化遗产及吴越文化、南宋文化等杭州特色文化核心元素，开展各类互动体验，做大杭州特色品牌，提升旅游消费热度；依托</w:t>
      </w:r>
      <w:r>
        <w:rPr>
          <w:rFonts w:ascii="仿宋_GB2312" w:hAnsi="仿宋_GB2312" w:hint="eastAsia"/>
        </w:rPr>
        <w:lastRenderedPageBreak/>
        <w:t>良渚古城遗址公园、南宋御街等，举办文化主题展览；鼓励西湖、西溪湿地等景区组织特色演出、互动活动等，鼓励剧院、剧场创作或引入地方戏、本地特色演出，增</w:t>
      </w:r>
      <w:r>
        <w:rPr>
          <w:rFonts w:ascii="仿宋_GB2312" w:hAnsi="仿宋_GB2312" w:hint="eastAsia"/>
        </w:rPr>
        <w:t>强体验性，提升参与度，吸引游客，促进旅游消费，打造独具杭州特色的国际旅游休闲目的地。以</w:t>
      </w:r>
      <w:r>
        <w:rPr>
          <w:rFonts w:ascii="仿宋_GB2312" w:hAnsi="仿宋_GB2312" w:hint="eastAsia"/>
        </w:rPr>
        <w:t>2022</w:t>
      </w:r>
      <w:r>
        <w:rPr>
          <w:rFonts w:ascii="仿宋_GB2312" w:hAnsi="仿宋_GB2312" w:hint="eastAsia"/>
        </w:rPr>
        <w:t>年杭州亚运会为契机，承办马拉松等各类运动比赛。支持动漫、游戏等文创企业发展，推动文</w:t>
      </w:r>
      <w:proofErr w:type="gramStart"/>
      <w:r>
        <w:rPr>
          <w:rFonts w:ascii="仿宋_GB2312" w:hAnsi="仿宋_GB2312" w:hint="eastAsia"/>
        </w:rPr>
        <w:t>创产品</w:t>
      </w:r>
      <w:proofErr w:type="gramEnd"/>
      <w:r>
        <w:rPr>
          <w:rFonts w:ascii="仿宋_GB2312" w:hAnsi="仿宋_GB2312" w:hint="eastAsia"/>
        </w:rPr>
        <w:t>“出海”。在民宿、景区、城市客厅等休闲社交场所设置游客体验与文</w:t>
      </w:r>
      <w:proofErr w:type="gramStart"/>
      <w:r>
        <w:rPr>
          <w:rFonts w:ascii="仿宋_GB2312" w:hAnsi="仿宋_GB2312" w:hint="eastAsia"/>
        </w:rPr>
        <w:t>创产品</w:t>
      </w:r>
      <w:proofErr w:type="gramEnd"/>
      <w:r>
        <w:rPr>
          <w:rFonts w:ascii="仿宋_GB2312" w:hAnsi="仿宋_GB2312" w:hint="eastAsia"/>
        </w:rPr>
        <w:t>展售区域，利用</w:t>
      </w:r>
      <w:r>
        <w:rPr>
          <w:rFonts w:ascii="仿宋_GB2312" w:hAnsi="仿宋_GB2312" w:hint="eastAsia"/>
        </w:rPr>
        <w:t>VR/AR</w:t>
      </w:r>
      <w:r>
        <w:rPr>
          <w:rFonts w:ascii="仿宋_GB2312" w:hAnsi="仿宋_GB2312" w:hint="eastAsia"/>
        </w:rPr>
        <w:t>等技术，促进传统产品、文化要素和数字技术结合。坚持文化引领，大力发展影视演艺、创意设计等文创产业，以及“文化体验</w:t>
      </w:r>
      <w:r>
        <w:rPr>
          <w:rFonts w:ascii="仿宋_GB2312" w:hAnsi="仿宋_GB2312" w:hint="eastAsia"/>
        </w:rPr>
        <w:t>+</w:t>
      </w:r>
      <w:r>
        <w:rPr>
          <w:rFonts w:ascii="仿宋_GB2312" w:hAnsi="仿宋_GB2312" w:hint="eastAsia"/>
        </w:rPr>
        <w:t>会展旅游”产业和体验式旅游。</w:t>
      </w:r>
    </w:p>
    <w:p w:rsidR="00CD2EF2" w:rsidRDefault="00CD2EF2">
      <w:pPr>
        <w:pStyle w:val="20"/>
        <w:spacing w:line="240" w:lineRule="auto"/>
        <w:ind w:firstLineChars="0" w:firstLine="640"/>
        <w:rPr>
          <w:b/>
          <w:sz w:val="18"/>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2355"/>
        <w:gridCol w:w="4315"/>
      </w:tblGrid>
      <w:tr w:rsidR="00CD2EF2">
        <w:trPr>
          <w:trHeight w:val="680"/>
          <w:jc w:val="center"/>
        </w:trPr>
        <w:tc>
          <w:tcPr>
            <w:tcW w:w="88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40" w:lineRule="auto"/>
              <w:ind w:firstLineChars="0" w:firstLine="0"/>
              <w:jc w:val="center"/>
              <w:rPr>
                <w:rFonts w:ascii="黑体" w:eastAsia="黑体" w:hAnsi="黑体"/>
                <w:spacing w:val="-6"/>
                <w:sz w:val="24"/>
              </w:rPr>
            </w:pPr>
            <w:r>
              <w:rPr>
                <w:rFonts w:ascii="黑体" w:eastAsia="黑体" w:hAnsi="黑体" w:hint="eastAsia"/>
                <w:spacing w:val="-6"/>
                <w:sz w:val="28"/>
                <w:szCs w:val="28"/>
              </w:rPr>
              <w:t>专栏</w:t>
            </w:r>
            <w:r>
              <w:rPr>
                <w:rFonts w:ascii="黑体" w:eastAsia="黑体" w:hAnsi="黑体" w:hint="eastAsia"/>
                <w:spacing w:val="-6"/>
                <w:sz w:val="28"/>
                <w:szCs w:val="28"/>
              </w:rPr>
              <w:t xml:space="preserve">3  </w:t>
            </w:r>
            <w:r>
              <w:rPr>
                <w:rFonts w:ascii="黑体" w:eastAsia="黑体" w:hAnsi="黑体" w:hint="eastAsia"/>
                <w:spacing w:val="-6"/>
                <w:sz w:val="28"/>
                <w:szCs w:val="28"/>
              </w:rPr>
              <w:t>杭州“数智新消费”五大工程</w:t>
            </w:r>
          </w:p>
        </w:tc>
      </w:tr>
      <w:tr w:rsidR="00CD2EF2">
        <w:trPr>
          <w:trHeight w:val="567"/>
          <w:jc w:val="center"/>
        </w:trPr>
        <w:tc>
          <w:tcPr>
            <w:tcW w:w="2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消费工程</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重点方向</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具体任务</w:t>
            </w:r>
          </w:p>
        </w:tc>
      </w:tr>
      <w:tr w:rsidR="00CD2EF2">
        <w:trPr>
          <w:trHeight w:val="828"/>
          <w:jc w:val="center"/>
        </w:trPr>
        <w:tc>
          <w:tcPr>
            <w:tcW w:w="21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欢乐购物在杭州</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繁荣购物消费商圈</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提升“三圈三街三站”能级，打造城市消费地标。</w:t>
            </w:r>
          </w:p>
        </w:tc>
      </w:tr>
      <w:tr w:rsidR="00CD2EF2">
        <w:trPr>
          <w:trHeight w:val="1218"/>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做强“首店经济”</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吸引国内外一线品牌在杭设立全球性、全国性和区域性的品牌首店、旗舰店，提升老字号品牌影响力。</w:t>
            </w:r>
          </w:p>
        </w:tc>
      </w:tr>
      <w:tr w:rsidR="00CD2EF2">
        <w:trPr>
          <w:trHeight w:val="1163"/>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加快出口转内销、</w:t>
            </w:r>
          </w:p>
          <w:p w:rsidR="00CD2EF2" w:rsidRDefault="003F5178">
            <w:pPr>
              <w:snapToGrid w:val="0"/>
              <w:spacing w:line="288" w:lineRule="auto"/>
              <w:jc w:val="center"/>
              <w:rPr>
                <w:rFonts w:ascii="仿宋_GB2312" w:hAnsi="仿宋_GB2312"/>
                <w:sz w:val="24"/>
              </w:rPr>
            </w:pPr>
            <w:r>
              <w:rPr>
                <w:rFonts w:ascii="仿宋_GB2312" w:hAnsi="仿宋_GB2312" w:hint="eastAsia"/>
                <w:sz w:val="24"/>
              </w:rPr>
              <w:t>扩大进口商品消费</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推动外贸产品进社区、进商场、进超市、进平台。建设</w:t>
            </w:r>
            <w:proofErr w:type="gramStart"/>
            <w:r>
              <w:rPr>
                <w:rFonts w:ascii="仿宋_GB2312" w:hAnsi="仿宋_GB2312" w:hint="eastAsia"/>
                <w:sz w:val="24"/>
              </w:rPr>
              <w:t>杭州综保区</w:t>
            </w:r>
            <w:proofErr w:type="gramEnd"/>
            <w:r>
              <w:rPr>
                <w:rFonts w:ascii="仿宋_GB2312" w:hAnsi="仿宋_GB2312" w:hint="eastAsia"/>
                <w:sz w:val="24"/>
              </w:rPr>
              <w:t>跨境电商实体新零售中心，实现“买全球卖全球”。</w:t>
            </w:r>
          </w:p>
        </w:tc>
      </w:tr>
      <w:tr w:rsidR="00CD2EF2">
        <w:trPr>
          <w:trHeight w:val="877"/>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推动汽车消费</w:t>
            </w:r>
          </w:p>
          <w:p w:rsidR="00CD2EF2" w:rsidRDefault="003F5178">
            <w:pPr>
              <w:snapToGrid w:val="0"/>
              <w:spacing w:line="288" w:lineRule="auto"/>
              <w:jc w:val="center"/>
              <w:rPr>
                <w:rFonts w:ascii="仿宋_GB2312" w:hAnsi="仿宋_GB2312"/>
                <w:sz w:val="24"/>
              </w:rPr>
            </w:pPr>
            <w:r>
              <w:rPr>
                <w:rFonts w:ascii="仿宋_GB2312" w:hAnsi="仿宋_GB2312" w:hint="eastAsia"/>
                <w:sz w:val="24"/>
              </w:rPr>
              <w:t>提质扩容</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积极推广新能源汽车等绿色消费产品，优化汽车消费发展环境。</w:t>
            </w:r>
          </w:p>
        </w:tc>
      </w:tr>
      <w:tr w:rsidR="00CD2EF2">
        <w:trPr>
          <w:trHeight w:val="1293"/>
          <w:jc w:val="center"/>
        </w:trPr>
        <w:tc>
          <w:tcPr>
            <w:tcW w:w="21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CD2EF2">
            <w:pPr>
              <w:snapToGrid w:val="0"/>
              <w:spacing w:line="288" w:lineRule="auto"/>
              <w:jc w:val="center"/>
              <w:rPr>
                <w:rFonts w:ascii="仿宋_GB2312" w:hAnsi="仿宋_GB2312"/>
                <w:sz w:val="24"/>
              </w:rPr>
            </w:pPr>
          </w:p>
          <w:p w:rsidR="00CD2EF2" w:rsidRDefault="003F5178">
            <w:pPr>
              <w:snapToGrid w:val="0"/>
              <w:spacing w:line="288" w:lineRule="auto"/>
              <w:jc w:val="center"/>
              <w:rPr>
                <w:rFonts w:ascii="仿宋_GB2312" w:hAnsi="仿宋_GB2312"/>
                <w:sz w:val="24"/>
              </w:rPr>
            </w:pPr>
            <w:r>
              <w:rPr>
                <w:rFonts w:ascii="仿宋_GB2312" w:hAnsi="仿宋_GB2312" w:hint="eastAsia"/>
                <w:sz w:val="24"/>
              </w:rPr>
              <w:t>畅快旅游在杭州</w:t>
            </w:r>
          </w:p>
          <w:p w:rsidR="00CD2EF2" w:rsidRDefault="00CD2EF2">
            <w:pPr>
              <w:snapToGrid w:val="0"/>
              <w:spacing w:line="288" w:lineRule="auto"/>
              <w:jc w:val="center"/>
              <w:rPr>
                <w:rFonts w:ascii="仿宋_GB2312" w:hAnsi="仿宋_GB2312"/>
                <w:sz w:val="24"/>
              </w:rPr>
            </w:pPr>
          </w:p>
          <w:p w:rsidR="00CD2EF2" w:rsidRDefault="00CD2EF2">
            <w:pPr>
              <w:snapToGrid w:val="0"/>
              <w:spacing w:line="288" w:lineRule="auto"/>
              <w:jc w:val="center"/>
              <w:rPr>
                <w:rFonts w:ascii="仿宋_GB2312" w:hAnsi="仿宋_GB2312"/>
                <w:sz w:val="24"/>
              </w:rPr>
            </w:pPr>
          </w:p>
          <w:p w:rsidR="00CD2EF2" w:rsidRDefault="00CD2EF2" w:rsidP="00BA1400">
            <w:pPr>
              <w:pStyle w:val="a1"/>
              <w:ind w:firstLine="234"/>
              <w:rPr>
                <w:spacing w:val="-6"/>
              </w:rPr>
            </w:pPr>
          </w:p>
          <w:p w:rsidR="00CD2EF2" w:rsidRDefault="003F5178">
            <w:pPr>
              <w:snapToGrid w:val="0"/>
              <w:spacing w:line="288" w:lineRule="auto"/>
              <w:jc w:val="center"/>
              <w:rPr>
                <w:rFonts w:ascii="仿宋_GB2312" w:hAnsi="仿宋_GB2312"/>
                <w:sz w:val="24"/>
              </w:rPr>
            </w:pPr>
            <w:r>
              <w:rPr>
                <w:rFonts w:ascii="仿宋_GB2312" w:hAnsi="仿宋_GB2312" w:hint="eastAsia"/>
                <w:sz w:val="24"/>
              </w:rPr>
              <w:t>畅快旅游在杭州</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lastRenderedPageBreak/>
              <w:t>打造经典线路</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策划“三大世界遗产串联游”“钱塘江诗路”等精品线路，加强与周边省份合作。</w:t>
            </w:r>
          </w:p>
        </w:tc>
      </w:tr>
      <w:tr w:rsidR="00CD2EF2">
        <w:trPr>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用好特色资源</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挖掘传统文化资源，优化</w:t>
            </w:r>
            <w:proofErr w:type="gramStart"/>
            <w:r>
              <w:rPr>
                <w:rFonts w:ascii="仿宋_GB2312" w:hAnsi="仿宋_GB2312" w:hint="eastAsia"/>
                <w:sz w:val="24"/>
              </w:rPr>
              <w:t>文旅消费</w:t>
            </w:r>
            <w:proofErr w:type="gramEnd"/>
            <w:r>
              <w:rPr>
                <w:rFonts w:ascii="仿宋_GB2312" w:hAnsi="仿宋_GB2312" w:hint="eastAsia"/>
                <w:sz w:val="24"/>
              </w:rPr>
              <w:t>体验；依托自然景观，打造主题旅行产品。</w:t>
            </w:r>
          </w:p>
        </w:tc>
      </w:tr>
      <w:tr w:rsidR="00CD2EF2">
        <w:trPr>
          <w:trHeight w:val="813"/>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丰富赛会节庆活动</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做强大</w:t>
            </w:r>
            <w:proofErr w:type="gramStart"/>
            <w:r>
              <w:rPr>
                <w:rFonts w:ascii="仿宋_GB2312" w:hAnsi="仿宋_GB2312" w:hint="eastAsia"/>
                <w:sz w:val="24"/>
              </w:rPr>
              <w:t>型动漫</w:t>
            </w:r>
            <w:proofErr w:type="gramEnd"/>
            <w:r>
              <w:rPr>
                <w:rFonts w:ascii="仿宋_GB2312" w:hAnsi="仿宋_GB2312" w:hint="eastAsia"/>
                <w:sz w:val="24"/>
              </w:rPr>
              <w:t>、电竞、艺术、音乐节</w:t>
            </w:r>
            <w:proofErr w:type="gramStart"/>
            <w:r>
              <w:rPr>
                <w:rFonts w:ascii="仿宋_GB2312" w:hAnsi="仿宋_GB2312" w:hint="eastAsia"/>
                <w:sz w:val="24"/>
              </w:rPr>
              <w:t>等文旅</w:t>
            </w:r>
            <w:proofErr w:type="gramEnd"/>
            <w:r>
              <w:rPr>
                <w:rFonts w:ascii="仿宋_GB2312" w:hAnsi="仿宋_GB2312" w:hint="eastAsia"/>
                <w:sz w:val="24"/>
              </w:rPr>
              <w:t>IP</w:t>
            </w:r>
            <w:r>
              <w:rPr>
                <w:rFonts w:ascii="仿宋_GB2312" w:hAnsi="仿宋_GB2312" w:hint="eastAsia"/>
                <w:sz w:val="24"/>
              </w:rPr>
              <w:t>，举办更多赛会。</w:t>
            </w:r>
          </w:p>
        </w:tc>
      </w:tr>
      <w:tr w:rsidR="00CD2EF2">
        <w:trPr>
          <w:jc w:val="center"/>
        </w:trPr>
        <w:tc>
          <w:tcPr>
            <w:tcW w:w="21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舒心服务在杭州</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完善便民生活服务</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整合社区服务资源，全面推进“邻里中心”等一站式生活配套服务设施建设，打造“一刻钟便民生活圈”。</w:t>
            </w:r>
          </w:p>
        </w:tc>
      </w:tr>
      <w:tr w:rsidR="00CD2EF2">
        <w:trPr>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培育新型养老产业</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探索家园</w:t>
            </w:r>
            <w:proofErr w:type="gramStart"/>
            <w:r>
              <w:rPr>
                <w:rFonts w:ascii="仿宋_GB2312" w:hAnsi="仿宋_GB2312" w:hint="eastAsia"/>
                <w:sz w:val="24"/>
              </w:rPr>
              <w:t>式康养</w:t>
            </w:r>
            <w:proofErr w:type="gramEnd"/>
            <w:r>
              <w:rPr>
                <w:rFonts w:ascii="仿宋_GB2312" w:hAnsi="仿宋_GB2312" w:hint="eastAsia"/>
                <w:sz w:val="24"/>
              </w:rPr>
              <w:t>等新型养老服务业态，积极构建现代养老服务体系，促进形成新的消费热点。</w:t>
            </w:r>
          </w:p>
        </w:tc>
      </w:tr>
      <w:tr w:rsidR="00CD2EF2">
        <w:trPr>
          <w:trHeight w:val="798"/>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推进绿色健康消费</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推动建设休闲娱乐场所，培育健身、</w:t>
            </w:r>
            <w:proofErr w:type="gramStart"/>
            <w:r>
              <w:rPr>
                <w:rFonts w:ascii="仿宋_GB2312" w:hAnsi="仿宋_GB2312" w:hint="eastAsia"/>
                <w:sz w:val="24"/>
              </w:rPr>
              <w:t>竞赛业</w:t>
            </w:r>
            <w:proofErr w:type="gramEnd"/>
            <w:r>
              <w:rPr>
                <w:rFonts w:ascii="仿宋_GB2312" w:hAnsi="仿宋_GB2312" w:hint="eastAsia"/>
                <w:sz w:val="24"/>
              </w:rPr>
              <w:t>态，促进大众健康、文旅、体育消费。</w:t>
            </w:r>
          </w:p>
        </w:tc>
      </w:tr>
      <w:tr w:rsidR="00CD2EF2">
        <w:trPr>
          <w:jc w:val="center"/>
        </w:trPr>
        <w:tc>
          <w:tcPr>
            <w:tcW w:w="21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夜间消费在杭州</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完善空间景观布局</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优化“</w:t>
            </w:r>
            <w:r>
              <w:rPr>
                <w:rFonts w:ascii="仿宋_GB2312" w:hAnsi="仿宋_GB2312" w:hint="eastAsia"/>
                <w:sz w:val="24"/>
              </w:rPr>
              <w:t>10+X</w:t>
            </w:r>
            <w:r>
              <w:rPr>
                <w:rFonts w:ascii="仿宋_GB2312" w:hAnsi="仿宋_GB2312" w:hint="eastAsia"/>
                <w:sz w:val="24"/>
              </w:rPr>
              <w:t>”夜间经济空间布局，全域构建地标建筑、路网立交、湖岸水畔、旅游景点的光彩景观，打造夜生活集聚区。</w:t>
            </w:r>
          </w:p>
        </w:tc>
      </w:tr>
      <w:tr w:rsidR="00CD2EF2">
        <w:trPr>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丰富夜间消费种类</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围绕夜游、夜购、夜宴、夜娱、夜市、夜学、</w:t>
            </w:r>
            <w:proofErr w:type="gramStart"/>
            <w:r>
              <w:rPr>
                <w:rFonts w:ascii="仿宋_GB2312" w:hAnsi="仿宋_GB2312" w:hint="eastAsia"/>
                <w:sz w:val="24"/>
              </w:rPr>
              <w:t>夜健等</w:t>
            </w:r>
            <w:proofErr w:type="gramEnd"/>
            <w:r>
              <w:rPr>
                <w:rFonts w:ascii="仿宋_GB2312" w:hAnsi="仿宋_GB2312" w:hint="eastAsia"/>
                <w:sz w:val="24"/>
              </w:rPr>
              <w:t>系列主题，</w:t>
            </w:r>
            <w:proofErr w:type="gramStart"/>
            <w:r>
              <w:rPr>
                <w:rFonts w:ascii="仿宋_GB2312" w:hAnsi="仿宋_GB2312" w:hint="eastAsia"/>
                <w:sz w:val="24"/>
              </w:rPr>
              <w:t>做优各类夜间业</w:t>
            </w:r>
            <w:proofErr w:type="gramEnd"/>
            <w:r>
              <w:rPr>
                <w:rFonts w:ascii="仿宋_GB2312" w:hAnsi="仿宋_GB2312" w:hint="eastAsia"/>
                <w:sz w:val="24"/>
              </w:rPr>
              <w:t>态；优化出行、市场秩序、环境等方面配套措施。</w:t>
            </w:r>
          </w:p>
        </w:tc>
      </w:tr>
      <w:tr w:rsidR="00CD2EF2">
        <w:trPr>
          <w:trHeight w:val="1203"/>
          <w:jc w:val="center"/>
        </w:trPr>
        <w:tc>
          <w:tcPr>
            <w:tcW w:w="21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放心消费在杭州</w:t>
            </w:r>
          </w:p>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畅通商贸物流体系</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支持商贸龙头企业</w:t>
            </w:r>
            <w:proofErr w:type="gramStart"/>
            <w:r>
              <w:rPr>
                <w:rFonts w:hint="eastAsia"/>
                <w:sz w:val="24"/>
              </w:rPr>
              <w:t>做优做</w:t>
            </w:r>
            <w:proofErr w:type="gramEnd"/>
            <w:r>
              <w:rPr>
                <w:rFonts w:hint="eastAsia"/>
                <w:sz w:val="24"/>
              </w:rPr>
              <w:t>强，加快物流业发展，鼓励快递企业优化布局，推动电商物流节点与交通网络体系融合发展。</w:t>
            </w:r>
          </w:p>
        </w:tc>
      </w:tr>
      <w:tr w:rsidR="00CD2EF2">
        <w:trPr>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规范消费市场秩序</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建立全过程质量安全追溯体系，维护消费者合法权益，健全个人信息保护和消费评价制度。</w:t>
            </w:r>
          </w:p>
        </w:tc>
      </w:tr>
      <w:tr w:rsidR="00CD2EF2">
        <w:trPr>
          <w:trHeight w:val="1168"/>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23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sz w:val="24"/>
              </w:rPr>
            </w:pPr>
            <w:r>
              <w:rPr>
                <w:rFonts w:hint="eastAsia"/>
                <w:sz w:val="24"/>
              </w:rPr>
              <w:t>强化金融税收支持</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sz w:val="24"/>
              </w:rPr>
            </w:pPr>
            <w:r>
              <w:rPr>
                <w:rFonts w:hint="eastAsia"/>
                <w:sz w:val="24"/>
              </w:rPr>
              <w:t>鼓励在杭金融机构创新消费信贷产品和服务，进一步完善免税退税体系，创建离境退税示范街区。</w:t>
            </w:r>
          </w:p>
        </w:tc>
      </w:tr>
    </w:tbl>
    <w:p w:rsidR="00CD2EF2" w:rsidRDefault="003F5178" w:rsidP="00BA1400">
      <w:pPr>
        <w:snapToGrid w:val="0"/>
        <w:spacing w:beforeLines="50" w:before="295"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推进会展经济全面提升。聚焦产业协同，打造与数字产业、新制造业和新消费协调发展的会展经济。围绕电子商务、人工智能、云计算、区块链等具有竞争力的数字产业，打造由综合性博</w:t>
      </w:r>
      <w:r>
        <w:rPr>
          <w:rFonts w:ascii="仿宋_GB2312" w:hAnsi="仿宋_GB2312" w:hint="eastAsia"/>
        </w:rPr>
        <w:lastRenderedPageBreak/>
        <w:t>览会和多个特色产业</w:t>
      </w:r>
      <w:proofErr w:type="gramStart"/>
      <w:r>
        <w:rPr>
          <w:rFonts w:ascii="仿宋_GB2312" w:hAnsi="仿宋_GB2312" w:hint="eastAsia"/>
        </w:rPr>
        <w:t>展构成</w:t>
      </w:r>
      <w:proofErr w:type="gramEnd"/>
      <w:r>
        <w:rPr>
          <w:rFonts w:ascii="仿宋_GB2312" w:hAnsi="仿宋_GB2312" w:hint="eastAsia"/>
        </w:rPr>
        <w:t>的“</w:t>
      </w:r>
      <w:r>
        <w:rPr>
          <w:rFonts w:ascii="仿宋_GB2312" w:hAnsi="仿宋_GB2312" w:hint="eastAsia"/>
        </w:rPr>
        <w:t>1+X</w:t>
      </w:r>
      <w:r>
        <w:rPr>
          <w:rFonts w:ascii="仿宋_GB2312" w:hAnsi="仿宋_GB2312" w:hint="eastAsia"/>
        </w:rPr>
        <w:t>”数字会展体系。策划、引进一批</w:t>
      </w:r>
      <w:r>
        <w:rPr>
          <w:rFonts w:ascii="仿宋_GB2312" w:hAnsi="仿宋_GB2312" w:hint="eastAsia"/>
        </w:rPr>
        <w:t>5G</w:t>
      </w:r>
      <w:r>
        <w:rPr>
          <w:rFonts w:ascii="仿宋_GB2312" w:hAnsi="仿宋_GB2312" w:hint="eastAsia"/>
        </w:rPr>
        <w:t>应用、航空航天、生物医药、集成电路、新能源等产业领域的重大会展项目，打响“杭州制造”品牌。重点提升中国杭州西湖博览会、杭州世界休闲博览会、中国国际茶叶博览会、中国国际</w:t>
      </w:r>
      <w:proofErr w:type="gramStart"/>
      <w:r>
        <w:rPr>
          <w:rFonts w:ascii="仿宋_GB2312" w:hAnsi="仿宋_GB2312" w:hint="eastAsia"/>
        </w:rPr>
        <w:t>动漫节</w:t>
      </w:r>
      <w:proofErr w:type="gramEnd"/>
      <w:r>
        <w:rPr>
          <w:rFonts w:ascii="仿宋_GB2312" w:hAnsi="仿宋_GB2312" w:hint="eastAsia"/>
        </w:rPr>
        <w:t>、杭州文化创意产业博览会等本土展会国际化水平。扎实推进未来城市实践行动，深入开展高端会展强化工程。培育一</w:t>
      </w:r>
      <w:r>
        <w:rPr>
          <w:rFonts w:ascii="仿宋_GB2312" w:hAnsi="仿宋_GB2312" w:hint="eastAsia"/>
        </w:rPr>
        <w:t>批本土会展运营龙头企业，鼓励大型会展企业挂牌上市，推动有条件的企业通过收购、兼并等方式实现集团化发展。建设有竞争力的会展业基础设施。继续提升“四片十集群”会展场馆布局，多方整合资源，加快建设通达会展场馆的地铁、快线、公交等基础设施。积极打造绿色会展、智慧会展。完善周边餐饮、娱乐、购物等商业配套，为会展带动消费创造良好条件。</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加快完善免税购物体系。加大离境退税政策宣传力度，增加离境退税商店数量，推动湖滨、武林、钱江新城、庆春等核心商圈门</w:t>
      </w:r>
      <w:proofErr w:type="gramStart"/>
      <w:r>
        <w:rPr>
          <w:rFonts w:ascii="仿宋_GB2312" w:hAnsi="仿宋_GB2312" w:hint="eastAsia"/>
        </w:rPr>
        <w:t>店广泛</w:t>
      </w:r>
      <w:proofErr w:type="gramEnd"/>
      <w:r>
        <w:rPr>
          <w:rFonts w:ascii="仿宋_GB2312" w:hAnsi="仿宋_GB2312" w:hint="eastAsia"/>
        </w:rPr>
        <w:t>实施退税政策，提升市内离境退税商店覆盖率。优化离境退税服务网点布</w:t>
      </w:r>
      <w:r>
        <w:rPr>
          <w:rFonts w:ascii="仿宋_GB2312" w:hAnsi="仿宋_GB2312" w:hint="eastAsia"/>
        </w:rPr>
        <w:t>局，创建离境退税示范街区。推行离境退税便捷支付，推广“即买即退”等便利化措施。制定出台关于免税商品、退税额度、退税办理流程等的政策措施。重点支持萧山机场免税店商品品质提升，继续引入国际品牌，扩大店面规模。支持设立市内免税店。尽量争取居民免税消费额度，提高免税商品购买便利度。</w:t>
      </w:r>
    </w:p>
    <w:p w:rsidR="00CD2EF2" w:rsidRDefault="003F5178" w:rsidP="00BA1400">
      <w:pPr>
        <w:snapToGrid w:val="0"/>
        <w:spacing w:line="336" w:lineRule="auto"/>
        <w:ind w:firstLineChars="200" w:firstLine="640"/>
        <w:rPr>
          <w:rFonts w:ascii="仿宋_GB2312" w:hAnsi="仿宋_GB2312"/>
        </w:rPr>
      </w:pPr>
      <w:r>
        <w:rPr>
          <w:rFonts w:ascii="仿宋_GB2312" w:hAnsi="仿宋_GB2312" w:hint="eastAsia"/>
          <w:spacing w:val="-3"/>
        </w:rPr>
        <w:t>5.</w:t>
      </w:r>
      <w:r>
        <w:rPr>
          <w:rFonts w:ascii="仿宋_GB2312" w:hAnsi="仿宋_GB2312" w:hint="eastAsia"/>
          <w:spacing w:val="-3"/>
        </w:rPr>
        <w:t>打造高端特色消费品牌。着力打造“数智消费·共富生</w:t>
      </w:r>
      <w:r>
        <w:rPr>
          <w:rFonts w:ascii="仿宋_GB2312" w:hAnsi="仿宋_GB2312" w:hint="eastAsia"/>
          <w:spacing w:val="-3"/>
        </w:rPr>
        <w:lastRenderedPageBreak/>
        <w:t>活”品牌，支持国内外知名品牌在杭设立全球性、全国性、区域性的研发中心、营销中心，开设</w:t>
      </w:r>
      <w:r>
        <w:rPr>
          <w:rFonts w:ascii="仿宋_GB2312" w:hAnsi="仿宋_GB2312" w:hint="eastAsia"/>
          <w:spacing w:val="-3"/>
        </w:rPr>
        <w:t>10</w:t>
      </w:r>
      <w:r>
        <w:rPr>
          <w:rFonts w:ascii="仿宋_GB2312" w:hAnsi="仿宋_GB2312" w:hint="eastAsia"/>
          <w:spacing w:val="-3"/>
        </w:rPr>
        <w:t>家以上品牌首店、旗舰店、体验店等，优先支持</w:t>
      </w:r>
      <w:proofErr w:type="gramStart"/>
      <w:r>
        <w:rPr>
          <w:rFonts w:ascii="仿宋_GB2312" w:hAnsi="仿宋_GB2312" w:hint="eastAsia"/>
          <w:spacing w:val="-3"/>
        </w:rPr>
        <w:t>品牌首店入驻</w:t>
      </w:r>
      <w:proofErr w:type="gramEnd"/>
      <w:r>
        <w:rPr>
          <w:rFonts w:ascii="仿宋_GB2312" w:hAnsi="仿宋_GB2312" w:hint="eastAsia"/>
          <w:spacing w:val="-3"/>
        </w:rPr>
        <w:t>湖滨、武林、钱江新城等重点商圈。以举办世界</w:t>
      </w:r>
      <w:r>
        <w:rPr>
          <w:rFonts w:ascii="仿宋_GB2312" w:hAnsi="仿宋_GB2312" w:hint="eastAsia"/>
          <w:spacing w:val="-3"/>
        </w:rPr>
        <w:t>时尚大会为契机，吸引一批国际高端新品、原创设计品牌在杭首发。支持各大电商平台、新零售创新企业等在杭开设新零售首店、体验店。推动以杭派女装为特色的本土优质原创设计品牌集聚发展，</w:t>
      </w:r>
      <w:r>
        <w:rPr>
          <w:rFonts w:ascii="仿宋_GB2312" w:hAnsi="仿宋_GB2312" w:hint="eastAsia"/>
          <w:spacing w:val="-3"/>
        </w:rPr>
        <w:t>支持四季</w:t>
      </w:r>
      <w:proofErr w:type="gramStart"/>
      <w:r>
        <w:rPr>
          <w:rFonts w:ascii="仿宋_GB2312" w:hAnsi="仿宋_GB2312" w:hint="eastAsia"/>
          <w:spacing w:val="-3"/>
        </w:rPr>
        <w:t>青服装</w:t>
      </w:r>
      <w:proofErr w:type="gramEnd"/>
      <w:r>
        <w:rPr>
          <w:rFonts w:ascii="仿宋_GB2312" w:hAnsi="仿宋_GB2312" w:hint="eastAsia"/>
          <w:spacing w:val="-3"/>
        </w:rPr>
        <w:t>特色街区产业转型升级，打造“杭派女装、中国时装、世界时尚”之都的重要展示窗口。支持杭州本土品牌参加各类时尚展。依托艺尚小镇、中国美术学院及周边时尚产业资源，扶持一批原创自主品牌在杭首发新品，打响以杭派时尚女装为特色、引领消费潮流的“杭州时尚”品牌。进一步加大对老字号的认定、保护和支持力度，鼓励老字号开设旗舰店、体验店、集成</w:t>
      </w:r>
      <w:r>
        <w:rPr>
          <w:rFonts w:ascii="仿宋_GB2312" w:hAnsi="仿宋_GB2312" w:hint="eastAsia"/>
          <w:spacing w:val="-3"/>
        </w:rPr>
        <w:t>店、“快闪店”等，提升消费体验。</w:t>
      </w:r>
    </w:p>
    <w:p w:rsidR="00CD2EF2" w:rsidRDefault="003F5178" w:rsidP="00BA1400">
      <w:pPr>
        <w:snapToGrid w:val="0"/>
        <w:spacing w:line="336" w:lineRule="auto"/>
        <w:ind w:firstLineChars="200" w:firstLine="628"/>
        <w:rPr>
          <w:rFonts w:eastAsia="楷体_GB2312"/>
        </w:rPr>
      </w:pPr>
      <w:r>
        <w:rPr>
          <w:rFonts w:eastAsia="楷体_GB2312" w:hint="eastAsia"/>
        </w:rPr>
        <w:t>（四）全面提升消费供给质量，满足居民美好生活需求。</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丰富优质消费供给。招</w:t>
      </w:r>
      <w:r>
        <w:rPr>
          <w:rFonts w:ascii="仿宋_GB2312" w:hAnsi="仿宋_GB2312" w:hint="eastAsia"/>
        </w:rPr>
        <w:t>引大型头部商业综合体在各大商圈落地，增强杭州商业地标吸引力。着力引进世界</w:t>
      </w:r>
      <w:r>
        <w:rPr>
          <w:rFonts w:ascii="仿宋_GB2312" w:hAnsi="仿宋_GB2312" w:hint="eastAsia"/>
        </w:rPr>
        <w:t>500</w:t>
      </w:r>
      <w:r>
        <w:rPr>
          <w:rFonts w:ascii="仿宋_GB2312" w:hAnsi="仿宋_GB2312" w:hint="eastAsia"/>
        </w:rPr>
        <w:t>强企业和国际知名商贸企业在杭设立全球总部和区域总部，布局研发中心、运营中心等。支持国内外知名品牌开设门店，加大轻</w:t>
      </w:r>
      <w:proofErr w:type="gramStart"/>
      <w:r>
        <w:rPr>
          <w:rFonts w:ascii="仿宋_GB2312" w:hAnsi="仿宋_GB2312" w:hint="eastAsia"/>
        </w:rPr>
        <w:t>奢潮牌首店</w:t>
      </w:r>
      <w:proofErr w:type="gramEnd"/>
      <w:r>
        <w:rPr>
          <w:rFonts w:ascii="仿宋_GB2312" w:hAnsi="仿宋_GB2312" w:hint="eastAsia"/>
        </w:rPr>
        <w:t>、旗舰店等消费资源的引进力度，打造名店名品集聚地。加快推进内外贸一体化进程，鼓励企业对</w:t>
      </w:r>
      <w:proofErr w:type="gramStart"/>
      <w:r>
        <w:rPr>
          <w:rFonts w:ascii="仿宋_GB2312" w:hAnsi="仿宋_GB2312" w:hint="eastAsia"/>
        </w:rPr>
        <w:t>标国际</w:t>
      </w:r>
      <w:proofErr w:type="gramEnd"/>
      <w:r>
        <w:rPr>
          <w:rFonts w:ascii="仿宋_GB2312" w:hAnsi="仿宋_GB2312" w:hint="eastAsia"/>
        </w:rPr>
        <w:t>一流标准，提升产品性能、款式设计、工艺水平，引导省内优质产品开拓国内市场。支持老</w:t>
      </w:r>
      <w:r>
        <w:rPr>
          <w:rFonts w:ascii="仿宋_GB2312" w:hAnsi="仿宋_GB2312" w:hint="eastAsia"/>
        </w:rPr>
        <w:lastRenderedPageBreak/>
        <w:t>字号品牌深挖文化资源，讲好老字</w:t>
      </w:r>
      <w:r>
        <w:rPr>
          <w:rFonts w:ascii="仿宋_GB2312" w:hAnsi="仿宋_GB2312" w:hint="eastAsia"/>
        </w:rPr>
        <w:t>号故事，与现代潮流相结合打造“国潮”品牌，以技术创新、制造升级探索“潮品”开发；鼓励老字号品牌通过跨界融合、创新技术应用等发展新业态、新模式，</w:t>
      </w:r>
      <w:r>
        <w:rPr>
          <w:rFonts w:ascii="仿宋_GB2312" w:hAnsi="仿宋_GB2312" w:hint="eastAsia"/>
        </w:rPr>
        <w:t>提升老字号知名度、美誉度。积极培育消费新物种，</w:t>
      </w:r>
      <w:proofErr w:type="gramStart"/>
      <w:r>
        <w:rPr>
          <w:rFonts w:ascii="仿宋_GB2312" w:hAnsi="仿宋_GB2312" w:hint="eastAsia"/>
        </w:rPr>
        <w:t>组织业</w:t>
      </w:r>
      <w:proofErr w:type="gramEnd"/>
      <w:r>
        <w:rPr>
          <w:rFonts w:ascii="仿宋_GB2312" w:hAnsi="仿宋_GB2312" w:hint="eastAsia"/>
        </w:rPr>
        <w:t>态创新、模式创新评比，制定相关激励政策，打造潮流消费风向标。</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提升消费服务保障水平。整合原有城市品牌，评选消费者最喜爱的品牌企业、品牌商圈、特色街区、特色名店，编制分类消费指南。做好亚运会餐饮服务保障工作，完成商贸行业亚运观赛空间和城市国际化标识系统建设任务。充分利用境内境外、线上线下媒体平台，多渠道宣传推广各类</w:t>
      </w:r>
      <w:r>
        <w:rPr>
          <w:rFonts w:ascii="仿宋_GB2312" w:hAnsi="仿宋_GB2312" w:hint="eastAsia"/>
        </w:rPr>
        <w:t>赛事、会展、节庆活动。推动入境签证便利化，落实外国人</w:t>
      </w:r>
      <w:r>
        <w:rPr>
          <w:rFonts w:ascii="仿宋_GB2312" w:hAnsi="仿宋_GB2312" w:hint="eastAsia"/>
        </w:rPr>
        <w:t>144</w:t>
      </w:r>
      <w:r>
        <w:rPr>
          <w:rFonts w:ascii="仿宋_GB2312" w:hAnsi="仿宋_GB2312" w:hint="eastAsia"/>
        </w:rPr>
        <w:t>小时过境免签政策，为国外游客在杭州旅游、消费提供便利。提升消费场所服务人员整体素质，组织开展外语、礼仪、外国文化等方面的基础培训。完善核心商圈、景区、公共交通等场所的外语标识，提升外国游客游购便利度。健全消费维</w:t>
      </w:r>
      <w:proofErr w:type="gramStart"/>
      <w:r>
        <w:rPr>
          <w:rFonts w:ascii="仿宋_GB2312" w:hAnsi="仿宋_GB2312" w:hint="eastAsia"/>
        </w:rPr>
        <w:t>权体制</w:t>
      </w:r>
      <w:proofErr w:type="gramEnd"/>
      <w:r>
        <w:rPr>
          <w:rFonts w:ascii="仿宋_GB2312" w:hAnsi="仿宋_GB2312" w:hint="eastAsia"/>
        </w:rPr>
        <w:t>机制建设，推进肉菜流通追溯体系提升改造，完善重要产品追溯体系建设，形成部门合力，助力打响“满意消费长三角”品牌。</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建设绿色循环和再生资源回收体系。持续推进绿色商场创建工程，加大限塑、公筷公勺、光盘行动等工作力度，</w:t>
      </w:r>
      <w:proofErr w:type="gramStart"/>
      <w:r>
        <w:rPr>
          <w:rFonts w:ascii="仿宋_GB2312" w:hAnsi="仿宋_GB2312" w:hint="eastAsia"/>
        </w:rPr>
        <w:t>增强商</w:t>
      </w:r>
      <w:proofErr w:type="gramEnd"/>
      <w:r>
        <w:rPr>
          <w:rFonts w:ascii="仿宋_GB2312" w:hAnsi="仿宋_GB2312" w:hint="eastAsia"/>
        </w:rPr>
        <w:t>超、餐饮等消费场</w:t>
      </w:r>
      <w:r>
        <w:rPr>
          <w:rFonts w:ascii="仿宋_GB2312" w:hAnsi="仿宋_GB2312" w:hint="eastAsia"/>
        </w:rPr>
        <w:t>所绿色运营观念。建立绿色供应链体系，开展示范、试点建设工作。依托数字技术建立全程可追踪的产品溯源体系。</w:t>
      </w:r>
      <w:r>
        <w:rPr>
          <w:rFonts w:ascii="仿宋_GB2312" w:hAnsi="仿宋_GB2312" w:hint="eastAsia"/>
        </w:rPr>
        <w:lastRenderedPageBreak/>
        <w:t>应用大数据、</w:t>
      </w:r>
      <w:proofErr w:type="gramStart"/>
      <w:r>
        <w:rPr>
          <w:rFonts w:ascii="仿宋_GB2312" w:hAnsi="仿宋_GB2312" w:hint="eastAsia"/>
        </w:rPr>
        <w:t>云计算</w:t>
      </w:r>
      <w:proofErr w:type="gramEnd"/>
      <w:r>
        <w:rPr>
          <w:rFonts w:ascii="仿宋_GB2312" w:hAnsi="仿宋_GB2312" w:hint="eastAsia"/>
        </w:rPr>
        <w:t>等技术，深入探索“互联网</w:t>
      </w:r>
      <w:r>
        <w:rPr>
          <w:rFonts w:ascii="仿宋_GB2312" w:hAnsi="仿宋_GB2312" w:hint="eastAsia"/>
        </w:rPr>
        <w:t>+</w:t>
      </w:r>
      <w:r>
        <w:rPr>
          <w:rFonts w:ascii="仿宋_GB2312" w:hAnsi="仿宋_GB2312" w:hint="eastAsia"/>
        </w:rPr>
        <w:t>资源回收”模式，智能推动回收升级，建立再生资源回收、分拣、加工一条龙管理体系，构建完善现代化的资源回收网络，提升资源回收利用效率。鼓励现有再生资源分拣中心进行机械化、信息化改造，提升科学分拣功能，促进资源增值。加强行业宣传，规范市场秩序，营造统一规范、竞争有序的市场环境和回收秩序。</w:t>
      </w:r>
      <w:bookmarkEnd w:id="170"/>
      <w:bookmarkEnd w:id="171"/>
      <w:bookmarkEnd w:id="172"/>
      <w:bookmarkEnd w:id="173"/>
    </w:p>
    <w:p w:rsidR="00CD2EF2" w:rsidRDefault="003F5178" w:rsidP="00BA1400">
      <w:pPr>
        <w:snapToGrid w:val="0"/>
        <w:spacing w:line="336" w:lineRule="auto"/>
        <w:ind w:firstLineChars="200" w:firstLine="628"/>
        <w:rPr>
          <w:rFonts w:eastAsia="楷体_GB2312"/>
        </w:rPr>
      </w:pPr>
      <w:bookmarkStart w:id="174" w:name="_Toc18867"/>
      <w:bookmarkStart w:id="175" w:name="_Toc1927"/>
      <w:bookmarkStart w:id="176" w:name="_Toc31129"/>
      <w:bookmarkStart w:id="177" w:name="_Toc25824"/>
      <w:bookmarkStart w:id="178" w:name="_Toc13445"/>
      <w:bookmarkStart w:id="179" w:name="_Toc20816"/>
      <w:bookmarkStart w:id="180" w:name="_Toc23115"/>
      <w:bookmarkStart w:id="181" w:name="_Toc7015"/>
      <w:bookmarkStart w:id="182" w:name="_Toc15467"/>
      <w:bookmarkStart w:id="183" w:name="_Toc6713"/>
      <w:bookmarkStart w:id="184" w:name="_Toc7462"/>
      <w:r>
        <w:rPr>
          <w:rFonts w:eastAsia="楷体_GB2312" w:hint="eastAsia"/>
        </w:rPr>
        <w:t>（五）加快建设数字自贸区，打造</w:t>
      </w:r>
      <w:bookmarkEnd w:id="174"/>
      <w:bookmarkEnd w:id="175"/>
      <w:bookmarkEnd w:id="176"/>
      <w:bookmarkEnd w:id="177"/>
      <w:bookmarkEnd w:id="178"/>
      <w:bookmarkEnd w:id="179"/>
      <w:bookmarkEnd w:id="180"/>
      <w:bookmarkEnd w:id="181"/>
      <w:bookmarkEnd w:id="182"/>
      <w:bookmarkEnd w:id="183"/>
      <w:bookmarkEnd w:id="184"/>
      <w:r>
        <w:rPr>
          <w:rFonts w:eastAsia="楷体_GB2312" w:hint="eastAsia"/>
        </w:rPr>
        <w:t>制度变革先行地。</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构建“自贸试验区</w:t>
      </w:r>
      <w:r>
        <w:rPr>
          <w:rFonts w:ascii="仿宋_GB2312" w:hAnsi="仿宋_GB2312" w:hint="eastAsia"/>
        </w:rPr>
        <w:t>+</w:t>
      </w:r>
      <w:r>
        <w:rPr>
          <w:rFonts w:ascii="仿宋_GB2312" w:hAnsi="仿宋_GB2312" w:hint="eastAsia"/>
        </w:rPr>
        <w:t>联动创新区</w:t>
      </w:r>
      <w:r>
        <w:rPr>
          <w:rFonts w:ascii="仿宋_GB2312" w:hAnsi="仿宋_GB2312" w:hint="eastAsia"/>
        </w:rPr>
        <w:t>+</w:t>
      </w:r>
      <w:r>
        <w:rPr>
          <w:rFonts w:ascii="仿宋_GB2312" w:hAnsi="仿宋_GB2312" w:hint="eastAsia"/>
        </w:rPr>
        <w:t>辐射带动区”的一体化开放新格局。聚焦数字经济，重点发展数字贸易、智能制造、智能物流、人工智能、金融科技、数字安防、临空服务、生命健康等产业，完善风险防控和处置机制，落实各项任务措施，打造高水平开放、国际化发展、现代化建设的自由贸易试验区。打造联动创新区，将杭州</w:t>
      </w:r>
      <w:proofErr w:type="gramStart"/>
      <w:r>
        <w:rPr>
          <w:rFonts w:ascii="仿宋_GB2312" w:hAnsi="仿宋_GB2312" w:hint="eastAsia"/>
        </w:rPr>
        <w:t>城西科创</w:t>
      </w:r>
      <w:proofErr w:type="gramEnd"/>
      <w:r>
        <w:rPr>
          <w:rFonts w:ascii="仿宋_GB2312" w:hAnsi="仿宋_GB2312" w:hint="eastAsia"/>
        </w:rPr>
        <w:t>大走廊全域纳入联动创新区，加快与自贸试验区杭州片区实现改革联动、创新联动，率先复制</w:t>
      </w:r>
      <w:proofErr w:type="gramStart"/>
      <w:r>
        <w:rPr>
          <w:rFonts w:ascii="仿宋_GB2312" w:hAnsi="仿宋_GB2312" w:hint="eastAsia"/>
        </w:rPr>
        <w:t>推广自</w:t>
      </w:r>
      <w:proofErr w:type="gramEnd"/>
      <w:r>
        <w:rPr>
          <w:rFonts w:ascii="仿宋_GB2312" w:hAnsi="仿宋_GB2312" w:hint="eastAsia"/>
        </w:rPr>
        <w:t>贸试验区政策制度。加快杭州联动创新区主城片区、钱塘片区、余杭片区、临平片区、临空片区建设，优先布局重大产业项目和公共服务平</w:t>
      </w:r>
      <w:r>
        <w:rPr>
          <w:rFonts w:ascii="仿宋_GB2312" w:hAnsi="仿宋_GB2312" w:hint="eastAsia"/>
        </w:rPr>
        <w:t>台，开展差异化、特色化改革探索，形成与自贸试验区优势互补、资源共享、政策互通、布局统筹的协同格局。拓展辐射带动区，将范围扩展至富阳区、桐庐县、淳安县及建德市在内的杭州全市域，构建与自贸试验区、联动创新区协同发展机制，充分吸纳改革创新与制度开放的溢出效应，加强创新政策和改革成果的创新推广。</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lastRenderedPageBreak/>
        <w:t>2.</w:t>
      </w:r>
      <w:r>
        <w:rPr>
          <w:rFonts w:ascii="仿宋_GB2312" w:hAnsi="仿宋_GB2312" w:hint="eastAsia"/>
        </w:rPr>
        <w:t>全面提升贸易便利化水平。完善贸易便利化体制机制。推动国际贸易“单一窗口”标准</w:t>
      </w:r>
      <w:proofErr w:type="gramStart"/>
      <w:r>
        <w:rPr>
          <w:rFonts w:ascii="仿宋_GB2312" w:hAnsi="仿宋_GB2312" w:hint="eastAsia"/>
        </w:rPr>
        <w:t>版功能</w:t>
      </w:r>
      <w:proofErr w:type="gramEnd"/>
      <w:r>
        <w:rPr>
          <w:rFonts w:ascii="仿宋_GB2312" w:hAnsi="仿宋_GB2312" w:hint="eastAsia"/>
        </w:rPr>
        <w:t>优化和拓展，探索将服务贸易、“通关</w:t>
      </w:r>
      <w:r>
        <w:rPr>
          <w:rFonts w:ascii="仿宋_GB2312" w:hAnsi="仿宋_GB2312" w:hint="eastAsia"/>
        </w:rPr>
        <w:t>+</w:t>
      </w:r>
      <w:r>
        <w:rPr>
          <w:rFonts w:ascii="仿宋_GB2312" w:hAnsi="仿宋_GB2312" w:hint="eastAsia"/>
        </w:rPr>
        <w:t>物流”等管理事项纳入“单一窗口”管理，逐步覆盖国际贸易管理全链条。实施跨境服务贸易负面清单管理模式。</w:t>
      </w:r>
      <w:r>
        <w:rPr>
          <w:rFonts w:ascii="仿宋_GB2312" w:hAnsi="仿宋_GB2312" w:hint="eastAsia"/>
        </w:rPr>
        <w:t>创新国际会展通关便利化举措，简化展品强制性认证免办手续。创新“互联网</w:t>
      </w:r>
      <w:r>
        <w:rPr>
          <w:rFonts w:ascii="仿宋_GB2312" w:hAnsi="仿宋_GB2312" w:hint="eastAsia"/>
        </w:rPr>
        <w:t>+</w:t>
      </w:r>
      <w:r>
        <w:rPr>
          <w:rFonts w:ascii="仿宋_GB2312" w:hAnsi="仿宋_GB2312" w:hint="eastAsia"/>
        </w:rPr>
        <w:t>口岸”新服务，围绕“数据管住、口岸放开、进出高效、全程可控”要求，探索“数据多跑路、人为少干预、货物快通关、退换更便捷”的新型监管模式。支持杭州</w:t>
      </w:r>
      <w:proofErr w:type="gramStart"/>
      <w:r>
        <w:rPr>
          <w:rFonts w:ascii="仿宋_GB2312" w:hAnsi="仿宋_GB2312" w:hint="eastAsia"/>
        </w:rPr>
        <w:t>医药港</w:t>
      </w:r>
      <w:proofErr w:type="gramEnd"/>
      <w:r>
        <w:rPr>
          <w:rFonts w:ascii="仿宋_GB2312" w:hAnsi="仿宋_GB2312" w:hint="eastAsia"/>
        </w:rPr>
        <w:t>建设，争取设立“首次进口药品和生物制品口岸”，推动生物制品、实验动物、实验设备材料的快速通关查验。探索新跨境贸易形态下的跨境支付监管模式和标准规范，开展货物贸易、服务贸易跨境外汇便利化试点，探索开展银行由事前单证审核转向事后审核。提升境内外人员流动便利化水平，推动境外专业人才资质互认，完善签</w:t>
      </w:r>
      <w:r>
        <w:rPr>
          <w:rFonts w:ascii="仿宋_GB2312" w:hAnsi="仿宋_GB2312" w:hint="eastAsia"/>
        </w:rPr>
        <w:t>证和居留便利化政策。</w:t>
      </w:r>
    </w:p>
    <w:p w:rsidR="00CD2EF2" w:rsidRDefault="003F5178" w:rsidP="00BA1400">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加快打造数字自贸区。围绕数字贸易“</w:t>
      </w:r>
      <w:r>
        <w:rPr>
          <w:rFonts w:ascii="仿宋_GB2312" w:hAnsi="仿宋_GB2312" w:hint="eastAsia"/>
        </w:rPr>
        <w:t>458</w:t>
      </w:r>
      <w:r>
        <w:rPr>
          <w:rFonts w:ascii="仿宋_GB2312" w:hAnsi="仿宋_GB2312" w:hint="eastAsia"/>
        </w:rPr>
        <w:t>”系统架构，加快数字自贸区建设，推出首创性、集成性的制度创新，实现在重点领域的率先突破。以数字贸易为核心，聚焦贸易自由化便利化，加快传统外贸数字化升级，完善国际贸易全链条数字化生态，打造数字贸易创新发展先行区。以数字产业为引擎，聚焦高质量建设现代化开放型经济体系，加快数字基础设施建设，推进数字贸易和数字制造融合发展，建设全球数字产业基地。以数字金融为特色，聚焦金融服务实体经济，创新金融科技应用，增加有效金</w:t>
      </w:r>
      <w:r>
        <w:rPr>
          <w:rFonts w:ascii="仿宋_GB2312" w:hAnsi="仿宋_GB2312" w:hint="eastAsia"/>
        </w:rPr>
        <w:lastRenderedPageBreak/>
        <w:t>融服务供给，有序推进区内境外实现跨境资</w:t>
      </w:r>
      <w:r>
        <w:rPr>
          <w:rFonts w:ascii="仿宋_GB2312" w:hAnsi="仿宋_GB2312" w:hint="eastAsia"/>
        </w:rPr>
        <w:t>金自由便利流动。以数字物流为支撑，聚焦“四港联动”，以空港为特色、信息港为纽带，推进数字中枢（</w:t>
      </w:r>
      <w:proofErr w:type="spellStart"/>
      <w:r>
        <w:rPr>
          <w:rFonts w:ascii="仿宋_GB2312" w:hAnsi="仿宋_GB2312" w:hint="eastAsia"/>
        </w:rPr>
        <w:t>eHub</w:t>
      </w:r>
      <w:proofErr w:type="spellEnd"/>
      <w:r>
        <w:rPr>
          <w:rFonts w:ascii="仿宋_GB2312" w:hAnsi="仿宋_GB2312" w:hint="eastAsia"/>
        </w:rPr>
        <w:t>）网络体系建设，打通海陆空物流通道，打造亚太重要门户。以数字治理为重点，聚焦整体智治，推进数字赋能，深化改革扩权，完善制度供给，着力建设与数字全产业</w:t>
      </w:r>
      <w:proofErr w:type="gramStart"/>
      <w:r>
        <w:rPr>
          <w:rFonts w:ascii="仿宋_GB2312" w:hAnsi="仿宋_GB2312" w:hint="eastAsia"/>
        </w:rPr>
        <w:t>链发展</w:t>
      </w:r>
      <w:proofErr w:type="gramEnd"/>
      <w:r>
        <w:rPr>
          <w:rFonts w:ascii="仿宋_GB2312" w:hAnsi="仿宋_GB2312" w:hint="eastAsia"/>
        </w:rPr>
        <w:t>相适应的治理体系。</w:t>
      </w:r>
    </w:p>
    <w:p w:rsidR="00CD2EF2" w:rsidRDefault="00CD2EF2" w:rsidP="00BA1400">
      <w:pPr>
        <w:snapToGrid w:val="0"/>
        <w:spacing w:line="240" w:lineRule="auto"/>
        <w:ind w:firstLineChars="200" w:firstLine="348"/>
        <w:rPr>
          <w:rFonts w:ascii="仿宋_GB2312" w:hAnsi="仿宋_GB2312"/>
          <w:sz w:val="18"/>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210"/>
        <w:gridCol w:w="4103"/>
      </w:tblGrid>
      <w:tr w:rsidR="00CD2EF2">
        <w:trPr>
          <w:trHeight w:val="680"/>
          <w:jc w:val="center"/>
        </w:trPr>
        <w:tc>
          <w:tcPr>
            <w:tcW w:w="88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8"/>
                <w:szCs w:val="28"/>
              </w:rPr>
              <w:t>专栏</w:t>
            </w:r>
            <w:r>
              <w:rPr>
                <w:rFonts w:ascii="黑体" w:eastAsia="黑体" w:hAnsi="黑体" w:hint="eastAsia"/>
                <w:sz w:val="28"/>
                <w:szCs w:val="28"/>
              </w:rPr>
              <w:t xml:space="preserve">4  </w:t>
            </w:r>
            <w:r>
              <w:rPr>
                <w:rFonts w:ascii="黑体" w:eastAsia="黑体" w:hAnsi="黑体" w:hint="eastAsia"/>
                <w:sz w:val="28"/>
                <w:szCs w:val="28"/>
              </w:rPr>
              <w:t>自贸试验区杭州片区功能布局</w:t>
            </w:r>
          </w:p>
        </w:tc>
      </w:tr>
      <w:tr w:rsidR="00CD2EF2">
        <w:trPr>
          <w:trHeight w:val="567"/>
          <w:jc w:val="center"/>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片</w:t>
            </w:r>
            <w:r>
              <w:rPr>
                <w:rFonts w:ascii="黑体" w:eastAsia="黑体" w:hAnsi="黑体" w:hint="eastAsia"/>
                <w:sz w:val="24"/>
              </w:rPr>
              <w:t xml:space="preserve"> </w:t>
            </w:r>
            <w:r>
              <w:rPr>
                <w:rFonts w:ascii="黑体" w:eastAsia="黑体" w:hAnsi="黑体" w:hint="eastAsia"/>
                <w:sz w:val="24"/>
              </w:rPr>
              <w:t>区</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jc w:val="center"/>
              <w:rPr>
                <w:rFonts w:ascii="黑体" w:eastAsia="黑体" w:hAnsi="黑体"/>
                <w:sz w:val="24"/>
              </w:rPr>
            </w:pPr>
            <w:r>
              <w:rPr>
                <w:rFonts w:ascii="黑体" w:eastAsia="黑体" w:hAnsi="黑体" w:hint="eastAsia"/>
                <w:sz w:val="24"/>
              </w:rPr>
              <w:t>区域范围</w:t>
            </w:r>
          </w:p>
        </w:tc>
        <w:tc>
          <w:tcPr>
            <w:tcW w:w="4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jc w:val="center"/>
              <w:rPr>
                <w:rFonts w:ascii="黑体" w:eastAsia="黑体" w:hAnsi="黑体"/>
                <w:sz w:val="24"/>
              </w:rPr>
            </w:pPr>
            <w:r>
              <w:rPr>
                <w:rFonts w:ascii="黑体" w:eastAsia="黑体" w:hAnsi="黑体" w:hint="eastAsia"/>
                <w:sz w:val="24"/>
              </w:rPr>
              <w:t>主导产业</w:t>
            </w:r>
          </w:p>
        </w:tc>
      </w:tr>
      <w:tr w:rsidR="00CD2EF2">
        <w:trPr>
          <w:trHeight w:val="3143"/>
          <w:jc w:val="center"/>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自贸试验区</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包括钱塘区块，由杭州综合保税区、大创小镇、</w:t>
            </w:r>
            <w:proofErr w:type="gramStart"/>
            <w:r>
              <w:rPr>
                <w:rFonts w:ascii="仿宋_GB2312" w:hAnsi="仿宋_GB2312" w:hint="eastAsia"/>
                <w:sz w:val="24"/>
              </w:rPr>
              <w:t>东部湾</w:t>
            </w:r>
            <w:proofErr w:type="gramEnd"/>
            <w:r>
              <w:rPr>
                <w:rFonts w:ascii="仿宋_GB2312" w:hAnsi="仿宋_GB2312" w:hint="eastAsia"/>
                <w:sz w:val="24"/>
              </w:rPr>
              <w:t>总部基地等组成；</w:t>
            </w:r>
            <w:proofErr w:type="gramStart"/>
            <w:r>
              <w:rPr>
                <w:rFonts w:ascii="仿宋_GB2312" w:hAnsi="仿宋_GB2312" w:hint="eastAsia"/>
                <w:sz w:val="24"/>
              </w:rPr>
              <w:t>萧山区块</w:t>
            </w:r>
            <w:proofErr w:type="gramEnd"/>
            <w:r>
              <w:rPr>
                <w:rFonts w:ascii="仿宋_GB2312" w:hAnsi="仿宋_GB2312" w:hint="eastAsia"/>
                <w:sz w:val="24"/>
              </w:rPr>
              <w:t>，由萧山经济技术开发区和杭州空港经济区组成；滨江区块，由物联网小镇、互联网小镇等组成。</w:t>
            </w:r>
          </w:p>
        </w:tc>
        <w:tc>
          <w:tcPr>
            <w:tcW w:w="4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钱塘区块重点发展数字贸易、跨境电商、生命健康、智能制造、跨境金融、研发检测、保税贸易等产业；</w:t>
            </w:r>
            <w:proofErr w:type="gramStart"/>
            <w:r>
              <w:rPr>
                <w:rFonts w:ascii="仿宋_GB2312" w:hAnsi="仿宋_GB2312" w:hint="eastAsia"/>
                <w:sz w:val="24"/>
              </w:rPr>
              <w:t>萧山区块重点发展数智</w:t>
            </w:r>
            <w:proofErr w:type="gramEnd"/>
            <w:r>
              <w:rPr>
                <w:rFonts w:ascii="仿宋_GB2312" w:hAnsi="仿宋_GB2312" w:hint="eastAsia"/>
                <w:sz w:val="24"/>
              </w:rPr>
              <w:t>制造、跨境电商、临空高端服务、生物医药、</w:t>
            </w:r>
            <w:proofErr w:type="gramStart"/>
            <w:r>
              <w:rPr>
                <w:rFonts w:ascii="仿宋_GB2312" w:hAnsi="仿宋_GB2312" w:hint="eastAsia"/>
                <w:sz w:val="24"/>
              </w:rPr>
              <w:t>科创金融</w:t>
            </w:r>
            <w:proofErr w:type="gramEnd"/>
            <w:r>
              <w:rPr>
                <w:rFonts w:ascii="仿宋_GB2312" w:hAnsi="仿宋_GB2312" w:hint="eastAsia"/>
                <w:sz w:val="24"/>
              </w:rPr>
              <w:t>等产业；滨江区块重点发展数字经济、金融科技、人工智能、数字安防等产业。</w:t>
            </w:r>
          </w:p>
        </w:tc>
      </w:tr>
      <w:tr w:rsidR="00CD2EF2">
        <w:trPr>
          <w:trHeight w:val="2521"/>
          <w:jc w:val="center"/>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联动创新区</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涵盖主城片区，包括滨江区</w:t>
            </w:r>
            <w:r>
              <w:rPr>
                <w:rFonts w:ascii="仿宋_GB2312" w:hAnsi="仿宋_GB2312" w:hint="eastAsia"/>
                <w:sz w:val="24"/>
              </w:rPr>
              <w:t>、</w:t>
            </w:r>
            <w:r>
              <w:rPr>
                <w:rFonts w:ascii="仿宋_GB2312" w:hAnsi="仿宋_GB2312" w:hint="eastAsia"/>
                <w:sz w:val="24"/>
              </w:rPr>
              <w:t>上城区玉皇山南基金小镇</w:t>
            </w:r>
            <w:r>
              <w:rPr>
                <w:rFonts w:ascii="仿宋_GB2312" w:hAnsi="仿宋_GB2312" w:hint="eastAsia"/>
                <w:sz w:val="24"/>
              </w:rPr>
              <w:t>和</w:t>
            </w:r>
            <w:r>
              <w:rPr>
                <w:rFonts w:ascii="仿宋_GB2312" w:hAnsi="仿宋_GB2312" w:hint="eastAsia"/>
                <w:sz w:val="24"/>
              </w:rPr>
              <w:t>杭州金融城；钱塘片区；余杭片区，包括未来科技城；临平片区</w:t>
            </w:r>
            <w:r>
              <w:rPr>
                <w:rFonts w:ascii="仿宋_GB2312" w:hAnsi="仿宋_GB2312" w:hint="eastAsia"/>
                <w:sz w:val="24"/>
              </w:rPr>
              <w:t>，包括国家级经济技术开发区；临空片区。</w:t>
            </w:r>
          </w:p>
        </w:tc>
        <w:tc>
          <w:tcPr>
            <w:tcW w:w="4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重点承担率先复制</w:t>
            </w:r>
            <w:proofErr w:type="gramStart"/>
            <w:r>
              <w:rPr>
                <w:rFonts w:ascii="仿宋_GB2312" w:hAnsi="仿宋_GB2312" w:hint="eastAsia"/>
                <w:sz w:val="24"/>
              </w:rPr>
              <w:t>推广自</w:t>
            </w:r>
            <w:proofErr w:type="gramEnd"/>
            <w:r>
              <w:rPr>
                <w:rFonts w:ascii="仿宋_GB2312" w:hAnsi="仿宋_GB2312" w:hint="eastAsia"/>
                <w:sz w:val="24"/>
              </w:rPr>
              <w:t>贸试验区杭州片区政策制度，优先布局重大产业项目和公共服务平台，开展差异化、特色化改革探索，形成与自贸试验区杭州片区优势互补、资源共享、政策互通、布局统筹的协同格局。</w:t>
            </w:r>
          </w:p>
        </w:tc>
      </w:tr>
      <w:tr w:rsidR="00CD2EF2">
        <w:trPr>
          <w:trHeight w:val="1200"/>
          <w:jc w:val="center"/>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辐射带动区</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杭州全市域。</w:t>
            </w:r>
          </w:p>
        </w:tc>
        <w:tc>
          <w:tcPr>
            <w:tcW w:w="4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加强创新政策和改革成果的推广，构筑全市一体化高水平开放发展新体系。</w:t>
            </w:r>
          </w:p>
        </w:tc>
      </w:tr>
    </w:tbl>
    <w:p w:rsidR="00CD2EF2" w:rsidRDefault="00CD2EF2"/>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7454"/>
      </w:tblGrid>
      <w:tr w:rsidR="00CD2EF2">
        <w:trPr>
          <w:trHeight w:val="680"/>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jc w:val="center"/>
              <w:rPr>
                <w:rFonts w:ascii="黑体" w:eastAsia="黑体" w:hAnsi="黑体"/>
                <w:sz w:val="24"/>
              </w:rPr>
            </w:pPr>
            <w:r>
              <w:rPr>
                <w:rFonts w:ascii="黑体" w:eastAsia="黑体" w:hAnsi="黑体" w:hint="eastAsia"/>
                <w:sz w:val="28"/>
                <w:szCs w:val="28"/>
              </w:rPr>
              <w:lastRenderedPageBreak/>
              <w:t>专栏</w:t>
            </w:r>
            <w:r>
              <w:rPr>
                <w:rFonts w:ascii="黑体" w:eastAsia="黑体" w:hAnsi="黑体" w:hint="eastAsia"/>
                <w:sz w:val="28"/>
                <w:szCs w:val="28"/>
              </w:rPr>
              <w:t xml:space="preserve">5  </w:t>
            </w:r>
            <w:r>
              <w:rPr>
                <w:rFonts w:ascii="黑体" w:eastAsia="黑体" w:hAnsi="黑体" w:hint="eastAsia"/>
                <w:sz w:val="28"/>
                <w:szCs w:val="28"/>
              </w:rPr>
              <w:t>“十四五”时期自贸试验区杭州片区重点任务</w:t>
            </w:r>
          </w:p>
        </w:tc>
      </w:tr>
      <w:tr w:rsidR="00CD2EF2">
        <w:trPr>
          <w:trHeight w:val="567"/>
          <w:jc w:val="center"/>
        </w:trPr>
        <w:tc>
          <w:tcPr>
            <w:tcW w:w="1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重点领域</w:t>
            </w:r>
          </w:p>
        </w:tc>
        <w:tc>
          <w:tcPr>
            <w:tcW w:w="7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w:t>
            </w:r>
            <w:r>
              <w:rPr>
                <w:rFonts w:ascii="黑体" w:eastAsia="黑体" w:hAnsi="黑体" w:hint="eastAsia"/>
                <w:sz w:val="24"/>
              </w:rPr>
              <w:t xml:space="preserve"> </w:t>
            </w:r>
            <w:r>
              <w:rPr>
                <w:rFonts w:ascii="黑体" w:eastAsia="黑体" w:hAnsi="黑体" w:hint="eastAsia"/>
                <w:sz w:val="24"/>
              </w:rPr>
              <w:t>点</w:t>
            </w:r>
            <w:r>
              <w:rPr>
                <w:rFonts w:ascii="黑体" w:eastAsia="黑体" w:hAnsi="黑体" w:hint="eastAsia"/>
                <w:sz w:val="24"/>
              </w:rPr>
              <w:t xml:space="preserve"> </w:t>
            </w:r>
            <w:r>
              <w:rPr>
                <w:rFonts w:ascii="黑体" w:eastAsia="黑体" w:hAnsi="黑体" w:hint="eastAsia"/>
                <w:sz w:val="24"/>
              </w:rPr>
              <w:t>任</w:t>
            </w:r>
            <w:r>
              <w:rPr>
                <w:rFonts w:ascii="黑体" w:eastAsia="黑体" w:hAnsi="黑体" w:hint="eastAsia"/>
                <w:sz w:val="24"/>
              </w:rPr>
              <w:t xml:space="preserve"> </w:t>
            </w:r>
            <w:proofErr w:type="gramStart"/>
            <w:r>
              <w:rPr>
                <w:rFonts w:ascii="黑体" w:eastAsia="黑体" w:hAnsi="黑体" w:hint="eastAsia"/>
                <w:sz w:val="24"/>
              </w:rPr>
              <w:t>务</w:t>
            </w:r>
            <w:proofErr w:type="gramEnd"/>
          </w:p>
        </w:tc>
      </w:tr>
      <w:tr w:rsidR="00CD2EF2">
        <w:trPr>
          <w:trHeight w:val="2326"/>
          <w:jc w:val="center"/>
        </w:trPr>
        <w:tc>
          <w:tcPr>
            <w:tcW w:w="1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color w:val="000000"/>
                <w:sz w:val="24"/>
              </w:rPr>
              <w:t>数字贸易</w:t>
            </w:r>
          </w:p>
        </w:tc>
        <w:tc>
          <w:tcPr>
            <w:tcW w:w="7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创新发展跨境电商，深化中国（杭州）跨境电子商务综合试验区建设。建设“数字丝绸之路”，举办全球数字贸易博览会，支持数字贸易平台落户自贸试验区。加快全面深化服务贸易创新发展试点。完善“单一窗口”服务，逐步覆盖国际贸易管理全链条。培育数字消费新引擎，加大消费领域对外开放力度，扩大数字新消费，探索设立跨境电商保税新零售，发展数字生活新服务。</w:t>
            </w:r>
          </w:p>
        </w:tc>
      </w:tr>
      <w:tr w:rsidR="00CD2EF2">
        <w:trPr>
          <w:trHeight w:val="1972"/>
          <w:jc w:val="center"/>
        </w:trPr>
        <w:tc>
          <w:tcPr>
            <w:tcW w:w="1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color w:val="000000"/>
                <w:sz w:val="24"/>
              </w:rPr>
              <w:t>数字产业</w:t>
            </w:r>
          </w:p>
        </w:tc>
        <w:tc>
          <w:tcPr>
            <w:tcW w:w="7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推动数字技术创新，支持设立研发中心、开放式实验室等产学研合作新机制。加快</w:t>
            </w:r>
            <w:r>
              <w:rPr>
                <w:rFonts w:ascii="仿宋_GB2312" w:hAnsi="仿宋_GB2312"/>
                <w:sz w:val="24"/>
              </w:rPr>
              <w:t>5G</w:t>
            </w:r>
            <w:r>
              <w:rPr>
                <w:rFonts w:ascii="仿宋_GB2312" w:hAnsi="仿宋_GB2312"/>
                <w:sz w:val="24"/>
              </w:rPr>
              <w:t>、人工智能、数据中心、</w:t>
            </w:r>
            <w:proofErr w:type="gramStart"/>
            <w:r>
              <w:rPr>
                <w:rFonts w:ascii="仿宋_GB2312" w:hAnsi="仿宋_GB2312"/>
                <w:sz w:val="24"/>
              </w:rPr>
              <w:t>超算中心</w:t>
            </w:r>
            <w:proofErr w:type="gramEnd"/>
            <w:r>
              <w:rPr>
                <w:rFonts w:ascii="仿宋_GB2312" w:hAnsi="仿宋_GB2312"/>
                <w:sz w:val="24"/>
              </w:rPr>
              <w:t>等数字新基建建设。培育数字产业集群，推进半导体产业</w:t>
            </w:r>
            <w:r>
              <w:rPr>
                <w:rFonts w:ascii="仿宋_GB2312" w:hAnsi="仿宋_GB2312"/>
                <w:sz w:val="24"/>
              </w:rPr>
              <w:t>“</w:t>
            </w:r>
            <w:r>
              <w:rPr>
                <w:rFonts w:ascii="仿宋_GB2312" w:hAnsi="仿宋_GB2312"/>
                <w:sz w:val="24"/>
              </w:rPr>
              <w:t>强链延链</w:t>
            </w:r>
            <w:r>
              <w:rPr>
                <w:rFonts w:ascii="仿宋_GB2312" w:hAnsi="仿宋_GB2312"/>
                <w:sz w:val="24"/>
              </w:rPr>
              <w:t>”</w:t>
            </w:r>
            <w:r>
              <w:rPr>
                <w:rFonts w:ascii="仿宋_GB2312" w:hAnsi="仿宋_GB2312"/>
                <w:sz w:val="24"/>
              </w:rPr>
              <w:t>和中国</w:t>
            </w:r>
            <w:r>
              <w:rPr>
                <w:rFonts w:ascii="仿宋_GB2312" w:hAnsi="仿宋_GB2312"/>
                <w:sz w:val="24"/>
              </w:rPr>
              <w:t>V</w:t>
            </w:r>
            <w:r>
              <w:rPr>
                <w:rFonts w:ascii="仿宋_GB2312" w:hAnsi="仿宋_GB2312"/>
                <w:sz w:val="24"/>
              </w:rPr>
              <w:t>谷建设</w:t>
            </w:r>
            <w:r>
              <w:rPr>
                <w:rFonts w:ascii="仿宋_GB2312" w:hAnsi="仿宋_GB2312" w:hint="eastAsia"/>
                <w:sz w:val="24"/>
              </w:rPr>
              <w:t>，丰富数字化改革场景应用</w:t>
            </w:r>
            <w:r>
              <w:rPr>
                <w:rFonts w:ascii="仿宋_GB2312" w:hAnsi="仿宋_GB2312"/>
                <w:sz w:val="24"/>
              </w:rPr>
              <w:t>。加快推进</w:t>
            </w:r>
            <w:r>
              <w:rPr>
                <w:rFonts w:ascii="仿宋_GB2312" w:hAnsi="仿宋_GB2312"/>
                <w:sz w:val="24"/>
              </w:rPr>
              <w:t>“1+N”</w:t>
            </w:r>
            <w:r>
              <w:rPr>
                <w:rFonts w:ascii="仿宋_GB2312" w:hAnsi="仿宋_GB2312"/>
                <w:sz w:val="24"/>
              </w:rPr>
              <w:t>工业互联网平台体系建设，智能制造升级。推进生命大健康产业发展。</w:t>
            </w:r>
          </w:p>
        </w:tc>
      </w:tr>
      <w:tr w:rsidR="00CD2EF2">
        <w:trPr>
          <w:trHeight w:val="1990"/>
          <w:jc w:val="center"/>
        </w:trPr>
        <w:tc>
          <w:tcPr>
            <w:tcW w:w="1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color w:val="000000"/>
                <w:sz w:val="24"/>
              </w:rPr>
              <w:t>数字金融</w:t>
            </w:r>
          </w:p>
        </w:tc>
        <w:tc>
          <w:tcPr>
            <w:tcW w:w="7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整合跨境支付、贸易融资等资源，搭建完备的支付结算体系。推进人民币国际化，支持跨境电商企业以人民币计价结算，鼓励金融机构与支付机构合作开展跨境人民币结算。支持设立民营银行，</w:t>
            </w:r>
            <w:proofErr w:type="gramStart"/>
            <w:r>
              <w:rPr>
                <w:rFonts w:ascii="仿宋_GB2312" w:hAnsi="仿宋_GB2312" w:hint="eastAsia"/>
                <w:sz w:val="24"/>
              </w:rPr>
              <w:t>探索股</w:t>
            </w:r>
            <w:proofErr w:type="gramEnd"/>
            <w:r>
              <w:rPr>
                <w:rFonts w:ascii="仿宋_GB2312" w:hAnsi="仿宋_GB2312" w:hint="eastAsia"/>
                <w:sz w:val="24"/>
              </w:rPr>
              <w:t>债联动，支持科技型企业发展。开展国家金融科技创新监管试点，鼓励大科技公司技术驱动下的金融产业应用等。</w:t>
            </w:r>
          </w:p>
        </w:tc>
      </w:tr>
      <w:tr w:rsidR="00CD2EF2">
        <w:trPr>
          <w:trHeight w:val="1937"/>
          <w:jc w:val="center"/>
        </w:trPr>
        <w:tc>
          <w:tcPr>
            <w:tcW w:w="1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color w:val="000000"/>
                <w:sz w:val="24"/>
              </w:rPr>
              <w:t>数字物流</w:t>
            </w:r>
          </w:p>
        </w:tc>
        <w:tc>
          <w:tcPr>
            <w:tcW w:w="7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left"/>
              <w:rPr>
                <w:rFonts w:ascii="仿宋_GB2312" w:hAnsi="仿宋_GB2312"/>
                <w:sz w:val="24"/>
              </w:rPr>
            </w:pPr>
            <w:r>
              <w:rPr>
                <w:rFonts w:ascii="仿宋_GB2312" w:hAnsi="仿宋_GB2312" w:hint="eastAsia"/>
                <w:sz w:val="24"/>
              </w:rPr>
              <w:t>建设具备数据联通、秒级通关、智能物流、综合服务功能的“数字口岸”。完善航空货运功能，加大国际航线布局，积极争取国际航</w:t>
            </w:r>
            <w:proofErr w:type="gramStart"/>
            <w:r>
              <w:rPr>
                <w:rFonts w:ascii="仿宋_GB2312" w:hAnsi="仿宋_GB2312" w:hint="eastAsia"/>
                <w:sz w:val="24"/>
              </w:rPr>
              <w:t>权资源</w:t>
            </w:r>
            <w:proofErr w:type="gramEnd"/>
            <w:r>
              <w:rPr>
                <w:rFonts w:ascii="仿宋_GB2312" w:hAnsi="仿宋_GB2312" w:hint="eastAsia"/>
                <w:sz w:val="24"/>
              </w:rPr>
              <w:t>等。构建智能物流枢纽体系，依托下沙虚拟空港实现陆空联动，支持以市场化方式加快</w:t>
            </w:r>
            <w:proofErr w:type="spellStart"/>
            <w:r>
              <w:rPr>
                <w:rFonts w:ascii="仿宋_GB2312" w:hAnsi="仿宋_GB2312"/>
                <w:sz w:val="24"/>
              </w:rPr>
              <w:t>eHub</w:t>
            </w:r>
            <w:proofErr w:type="spellEnd"/>
            <w:r>
              <w:rPr>
                <w:rFonts w:ascii="仿宋_GB2312" w:hAnsi="仿宋_GB2312"/>
                <w:sz w:val="24"/>
              </w:rPr>
              <w:t>全球节点布局。推动临</w:t>
            </w:r>
            <w:proofErr w:type="gramStart"/>
            <w:r>
              <w:rPr>
                <w:rFonts w:ascii="仿宋_GB2312" w:hAnsi="仿宋_GB2312"/>
                <w:sz w:val="24"/>
              </w:rPr>
              <w:t>空产业</w:t>
            </w:r>
            <w:proofErr w:type="gramEnd"/>
            <w:r>
              <w:rPr>
                <w:rFonts w:ascii="仿宋_GB2312" w:hAnsi="仿宋_GB2312"/>
                <w:sz w:val="24"/>
              </w:rPr>
              <w:t>发展，加快推动杭州保税物流中心（</w:t>
            </w:r>
            <w:r>
              <w:rPr>
                <w:rFonts w:ascii="仿宋_GB2312" w:hAnsi="仿宋_GB2312"/>
                <w:sz w:val="24"/>
              </w:rPr>
              <w:t>B</w:t>
            </w:r>
            <w:r>
              <w:rPr>
                <w:rFonts w:ascii="仿宋_GB2312" w:hAnsi="仿宋_GB2312"/>
                <w:sz w:val="24"/>
              </w:rPr>
              <w:t>型）整合升级，打造全球保税维修中心等。</w:t>
            </w:r>
          </w:p>
        </w:tc>
      </w:tr>
      <w:tr w:rsidR="00CD2EF2">
        <w:trPr>
          <w:trHeight w:val="1947"/>
          <w:jc w:val="center"/>
        </w:trPr>
        <w:tc>
          <w:tcPr>
            <w:tcW w:w="1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color w:val="000000"/>
                <w:sz w:val="24"/>
              </w:rPr>
              <w:t>数字治理</w:t>
            </w:r>
          </w:p>
        </w:tc>
        <w:tc>
          <w:tcPr>
            <w:tcW w:w="7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加快“数字政府”建设，优化“亲清在线”。推进营商环境集成改革，深化“放管服”改革，争取更多管理权限依法经批准下放。推进重大项目规划建设，放大亚运会效应，引进国内外优质教育、医疗资源，提升城市国际化服务能级。实施高峰</w:t>
            </w:r>
            <w:proofErr w:type="gramStart"/>
            <w:r>
              <w:rPr>
                <w:rFonts w:ascii="仿宋_GB2312" w:hAnsi="仿宋_GB2312" w:hint="eastAsia"/>
                <w:sz w:val="24"/>
              </w:rPr>
              <w:t>人才引育计划</w:t>
            </w:r>
            <w:proofErr w:type="gramEnd"/>
            <w:r>
              <w:rPr>
                <w:rFonts w:ascii="仿宋_GB2312" w:hAnsi="仿宋_GB2312" w:hint="eastAsia"/>
                <w:sz w:val="24"/>
              </w:rPr>
              <w:t>，深化出入境便利政策。建立风险防范和</w:t>
            </w:r>
            <w:proofErr w:type="gramStart"/>
            <w:r>
              <w:rPr>
                <w:rFonts w:ascii="仿宋_GB2312" w:hAnsi="仿宋_GB2312" w:hint="eastAsia"/>
                <w:sz w:val="24"/>
              </w:rPr>
              <w:t>精密智控机制</w:t>
            </w:r>
            <w:proofErr w:type="gramEnd"/>
            <w:r>
              <w:rPr>
                <w:rFonts w:ascii="仿宋_GB2312" w:hAnsi="仿宋_GB2312" w:hint="eastAsia"/>
                <w:sz w:val="24"/>
              </w:rPr>
              <w:t>，更好发挥杭州互联网法院作用等。</w:t>
            </w:r>
          </w:p>
        </w:tc>
      </w:tr>
    </w:tbl>
    <w:p w:rsidR="00CD2EF2" w:rsidRDefault="003F5178" w:rsidP="00BA1400">
      <w:pPr>
        <w:adjustRightInd w:val="0"/>
        <w:snapToGrid w:val="0"/>
        <w:spacing w:beforeLines="50" w:before="295" w:line="336" w:lineRule="auto"/>
        <w:ind w:firstLineChars="198" w:firstLine="622"/>
        <w:outlineLvl w:val="1"/>
        <w:rPr>
          <w:rFonts w:eastAsia="楷体_GB2312"/>
        </w:rPr>
      </w:pPr>
      <w:bookmarkStart w:id="185" w:name="_Toc11612"/>
      <w:bookmarkStart w:id="186" w:name="_Toc19624"/>
      <w:bookmarkStart w:id="187" w:name="_Toc9576"/>
      <w:bookmarkStart w:id="188" w:name="_Toc1131"/>
      <w:bookmarkStart w:id="189" w:name="_Toc2981"/>
      <w:bookmarkStart w:id="190" w:name="_Toc30166"/>
      <w:bookmarkStart w:id="191" w:name="_Toc20157"/>
      <w:bookmarkStart w:id="192" w:name="_Toc16287"/>
      <w:bookmarkStart w:id="193" w:name="_Toc7772"/>
      <w:bookmarkStart w:id="194" w:name="_Toc24878"/>
      <w:bookmarkStart w:id="195" w:name="_Toc83"/>
      <w:r>
        <w:rPr>
          <w:rFonts w:eastAsia="楷体_GB2312" w:hint="eastAsia"/>
        </w:rPr>
        <w:t>（六）积极开拓国内国际市场，推进贸易高质量发展</w:t>
      </w:r>
      <w:bookmarkEnd w:id="185"/>
      <w:bookmarkEnd w:id="186"/>
      <w:bookmarkEnd w:id="187"/>
      <w:bookmarkEnd w:id="188"/>
      <w:bookmarkEnd w:id="189"/>
      <w:bookmarkEnd w:id="190"/>
      <w:bookmarkEnd w:id="191"/>
      <w:bookmarkEnd w:id="192"/>
      <w:bookmarkEnd w:id="193"/>
      <w:bookmarkEnd w:id="194"/>
      <w:bookmarkEnd w:id="195"/>
      <w:r>
        <w:rPr>
          <w:rFonts w:eastAsia="楷体_GB2312" w:hint="eastAsia"/>
        </w:rPr>
        <w:t>。</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kern w:val="0"/>
        </w:rPr>
        <w:t>1.</w:t>
      </w:r>
      <w:r>
        <w:rPr>
          <w:rFonts w:ascii="仿宋_GB2312" w:hAnsi="仿宋_GB2312" w:hint="eastAsia"/>
          <w:kern w:val="0"/>
        </w:rPr>
        <w:t>推进外贸优化转型。</w:t>
      </w:r>
      <w:r>
        <w:rPr>
          <w:rFonts w:ascii="仿宋_GB2312" w:hAnsi="仿宋_GB2312" w:hint="eastAsia"/>
        </w:rPr>
        <w:t>加大培育“两自一高”（自主知识产权、</w:t>
      </w:r>
      <w:r>
        <w:rPr>
          <w:rFonts w:ascii="仿宋_GB2312" w:hAnsi="仿宋_GB2312" w:hint="eastAsia"/>
        </w:rPr>
        <w:lastRenderedPageBreak/>
        <w:t>自主品牌、高附加值）企业，发展外贸新增量。加强品牌建设，全面落实“新制造业计划”，开展“杭州出</w:t>
      </w:r>
      <w:r>
        <w:rPr>
          <w:rFonts w:ascii="仿宋_GB2312" w:hAnsi="仿宋_GB2312" w:hint="eastAsia"/>
        </w:rPr>
        <w:t>口名牌”认定，引导外贸企业加大技术改造和创新。不断优化出口产品结构，提高机电产品和高科技产品出口比重。扩大进口产品多样性，加大首台（套）重大技术装备的进口。大力发展跨境电商、数字贸易等新型贸易，引导企业借助互联网、大数据等技术，创新商业模式，做强新业态，为更多中小企业提供专业化外贸综合服务，推动外贸企业数字化转型。优化外贸公共服务，重点抓好转型升级基地、公共技术平台、综合服务平台建设。充分发挥链长制作用，增强外贸产业</w:t>
      </w:r>
      <w:proofErr w:type="gramStart"/>
      <w:r>
        <w:rPr>
          <w:rFonts w:ascii="仿宋_GB2312" w:hAnsi="仿宋_GB2312" w:hint="eastAsia"/>
        </w:rPr>
        <w:t>链供应</w:t>
      </w:r>
      <w:proofErr w:type="gramEnd"/>
      <w:r>
        <w:rPr>
          <w:rFonts w:ascii="仿宋_GB2312" w:hAnsi="仿宋_GB2312" w:hint="eastAsia"/>
        </w:rPr>
        <w:t>链自主可控能力。</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推动进口量质齐升。扩大先进设备、关键零部件、重要资源能源性产品和</w:t>
      </w:r>
      <w:r>
        <w:rPr>
          <w:rFonts w:ascii="仿宋_GB2312" w:hAnsi="仿宋_GB2312" w:hint="eastAsia"/>
        </w:rPr>
        <w:t>一般消费品进口，推动产业和贸易融合发展。通过进口贴息、税收优惠等进口促进政策，加大对适合我市产业发展导向设备进口的支持力度。把握我国主动扩大进口的机遇，积极参与中国国际进口博览会，承接其溢出效应。建设进口商品展销中心和特色街区，继续举办外贸企业进湖滨步行街展销外贸优品等系列活动，多渠道满足优质海外商品的消费需求，打造家门口的“世界超市”。</w:t>
      </w:r>
      <w:proofErr w:type="gramStart"/>
      <w:r>
        <w:rPr>
          <w:rFonts w:ascii="仿宋_GB2312" w:hAnsi="仿宋_GB2312" w:hint="eastAsia"/>
        </w:rPr>
        <w:t>完善线</w:t>
      </w:r>
      <w:proofErr w:type="gramEnd"/>
      <w:r>
        <w:rPr>
          <w:rFonts w:ascii="仿宋_GB2312" w:hAnsi="仿宋_GB2312" w:hint="eastAsia"/>
        </w:rPr>
        <w:t>上线下进口商品购销体系，打造不落幕</w:t>
      </w:r>
      <w:proofErr w:type="gramStart"/>
      <w:r>
        <w:rPr>
          <w:rFonts w:ascii="仿宋_GB2312" w:hAnsi="仿宋_GB2312" w:hint="eastAsia"/>
        </w:rPr>
        <w:t>的进博会</w:t>
      </w:r>
      <w:proofErr w:type="gramEnd"/>
      <w:r>
        <w:rPr>
          <w:rFonts w:ascii="仿宋_GB2312" w:hAnsi="仿宋_GB2312" w:hint="eastAsia"/>
        </w:rPr>
        <w:t>。</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促进内外贸一体化发展。优化市场流通环境，便利企业统筹用好国际国内两个市场，降低出口产品内销成本。线上线下同步</w:t>
      </w:r>
      <w:proofErr w:type="gramStart"/>
      <w:r>
        <w:rPr>
          <w:rFonts w:ascii="仿宋_GB2312" w:hAnsi="仿宋_GB2312" w:hint="eastAsia"/>
        </w:rPr>
        <w:t>帮扶外贸</w:t>
      </w:r>
      <w:proofErr w:type="gramEnd"/>
      <w:r>
        <w:rPr>
          <w:rFonts w:ascii="仿宋_GB2312" w:hAnsi="仿宋_GB2312" w:hint="eastAsia"/>
        </w:rPr>
        <w:t>企业拓展内销渠道，与国内大型商贸流通企业对接，</w:t>
      </w:r>
      <w:r>
        <w:rPr>
          <w:rFonts w:ascii="仿宋_GB2312" w:hAnsi="仿宋_GB2312" w:hint="eastAsia"/>
        </w:rPr>
        <w:lastRenderedPageBreak/>
        <w:t>利用电子商务、特色街、专业市场等渠道，帮助外贸转内销。支持企业发展“三同”（同线、同标、同质）内外销产品，扩大“三同”实施范围，完善“三同”公共信息服务平台功能。鼓励有实力的企业开展跨国并购，布局全球化的供应链、仓储及物流网络。利用大数据、</w:t>
      </w:r>
      <w:proofErr w:type="gramStart"/>
      <w:r>
        <w:rPr>
          <w:rFonts w:ascii="仿宋_GB2312" w:hAnsi="仿宋_GB2312" w:hint="eastAsia"/>
        </w:rPr>
        <w:t>云计算</w:t>
      </w:r>
      <w:proofErr w:type="gramEnd"/>
      <w:r>
        <w:rPr>
          <w:rFonts w:ascii="仿宋_GB2312" w:hAnsi="仿宋_GB2312" w:hint="eastAsia"/>
        </w:rPr>
        <w:t>等技术，搭建信息共享平台，提升内外贸市场一体化水平。加强品牌宣传推广，推动内销规模化、品牌化。</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kern w:val="0"/>
        </w:rPr>
        <w:t>4.</w:t>
      </w:r>
      <w:r>
        <w:rPr>
          <w:rFonts w:ascii="仿宋_GB2312" w:hAnsi="仿宋_GB2312" w:hint="eastAsia"/>
          <w:kern w:val="0"/>
        </w:rPr>
        <w:t>深化会展拓市场新模式。</w:t>
      </w:r>
      <w:r>
        <w:rPr>
          <w:rFonts w:ascii="仿宋_GB2312" w:hAnsi="仿宋_GB2312" w:hint="eastAsia"/>
        </w:rPr>
        <w:t>深化“海外杭州”建设，巩固欧美日等传统市场，开拓“一带一路”新兴市场。建好“海外杭州”展会平台，持</w:t>
      </w:r>
      <w:r>
        <w:rPr>
          <w:rFonts w:ascii="仿宋_GB2312" w:hAnsi="仿宋_GB2312" w:hint="eastAsia"/>
        </w:rPr>
        <w:t>续扩大“海外杭州”版图，在“一带一路”上多元布局海外贸易展。结合物流、人才等资源要素，拓展“海外杭州”平台功能。继续推进会展设施建设，提升会展公共服务能力。建成杭州大会展中心，举办全球数字贸易博览会，打造全球数字贸易中心。推出一系列线上线下外贸展览，开展“千企万品，双线出海”行动，抢抓先机数字化开拓海外市场，提升会展国际影响力。主动开放“海外杭州”境外会展平台，带动长三角以及全国外贸企业抱团拓展海外市场。</w:t>
      </w:r>
    </w:p>
    <w:p w:rsidR="00CD2EF2" w:rsidRDefault="003F5178" w:rsidP="00BA1400">
      <w:pPr>
        <w:adjustRightInd w:val="0"/>
        <w:snapToGrid w:val="0"/>
        <w:spacing w:line="336" w:lineRule="auto"/>
        <w:ind w:firstLineChars="200" w:firstLine="628"/>
      </w:pPr>
      <w:r>
        <w:rPr>
          <w:rFonts w:ascii="仿宋_GB2312" w:hAnsi="仿宋_GB2312" w:hint="eastAsia"/>
          <w:kern w:val="0"/>
        </w:rPr>
        <w:t>5.</w:t>
      </w:r>
      <w:r>
        <w:rPr>
          <w:rFonts w:ascii="仿宋_GB2312" w:hAnsi="仿宋_GB2312" w:hint="eastAsia"/>
          <w:kern w:val="0"/>
        </w:rPr>
        <w:t>健全外贸扶持体系。</w:t>
      </w:r>
      <w:r>
        <w:rPr>
          <w:rFonts w:ascii="仿宋_GB2312" w:hAnsi="仿宋_GB2312" w:hint="eastAsia"/>
        </w:rPr>
        <w:t>针对疫情防控常态化和经贸摩擦叠加局面，大力扶持外贸企业，积极应对经贸摩擦，谋划更</w:t>
      </w:r>
      <w:r>
        <w:rPr>
          <w:rFonts w:ascii="仿宋_GB2312" w:hAnsi="仿宋_GB2312" w:hint="eastAsia"/>
        </w:rPr>
        <w:t>具针对性的外贸扶持政策，进一步健全各级外贸扶持体系。开展企业精准服务，深化“订单</w:t>
      </w:r>
      <w:r>
        <w:rPr>
          <w:rFonts w:ascii="仿宋_GB2312" w:hAnsi="仿宋_GB2312" w:hint="eastAsia"/>
        </w:rPr>
        <w:t>+</w:t>
      </w:r>
      <w:r>
        <w:rPr>
          <w:rFonts w:ascii="仿宋_GB2312" w:hAnsi="仿宋_GB2312" w:hint="eastAsia"/>
        </w:rPr>
        <w:t>清单”预判和管理体系，针对新情况新问题，及时跟踪监测，研究扶持和应对政策。</w:t>
      </w:r>
      <w:proofErr w:type="gramStart"/>
      <w:r>
        <w:rPr>
          <w:rFonts w:ascii="仿宋_GB2312" w:hAnsi="仿宋_GB2312" w:hint="eastAsia"/>
        </w:rPr>
        <w:t>强化信保</w:t>
      </w:r>
      <w:proofErr w:type="gramEnd"/>
      <w:r>
        <w:rPr>
          <w:rFonts w:ascii="仿宋_GB2312" w:hAnsi="仿宋_GB2312" w:hint="eastAsia"/>
        </w:rPr>
        <w:t>支持，进一步扩大短期出口信用保险覆盖面，提升风险容忍度，推动贸易</w:t>
      </w:r>
      <w:proofErr w:type="gramStart"/>
      <w:r>
        <w:rPr>
          <w:rFonts w:ascii="仿宋_GB2312" w:hAnsi="仿宋_GB2312" w:hint="eastAsia"/>
        </w:rPr>
        <w:t>链风险</w:t>
      </w:r>
      <w:proofErr w:type="gramEnd"/>
      <w:r>
        <w:rPr>
          <w:rFonts w:ascii="仿宋_GB2312" w:hAnsi="仿宋_GB2312" w:hint="eastAsia"/>
        </w:rPr>
        <w:lastRenderedPageBreak/>
        <w:t>保障前移，强化出口信用保险“逆周期”调节作用，帮助企业加强出口风险管理。以精准服务企业需求为导向，集成打造</w:t>
      </w:r>
      <w:proofErr w:type="gramStart"/>
      <w:r>
        <w:rPr>
          <w:rFonts w:ascii="仿宋_GB2312" w:hAnsi="仿宋_GB2312" w:hint="eastAsia"/>
        </w:rPr>
        <w:t>数字外贸</w:t>
      </w:r>
      <w:proofErr w:type="gramEnd"/>
      <w:r>
        <w:rPr>
          <w:rFonts w:ascii="仿宋_GB2312" w:hAnsi="仿宋_GB2312" w:hint="eastAsia"/>
        </w:rPr>
        <w:t>综合服务平台，扩大“杭信贷”融资覆盖面。充分发挥学术研究机构、行业中介组织和龙头企业作用，建立健全贸易摩擦防范应对机制</w:t>
      </w:r>
      <w:r>
        <w:rPr>
          <w:rFonts w:hint="eastAsia"/>
        </w:rPr>
        <w:t>。</w:t>
      </w:r>
    </w:p>
    <w:p w:rsidR="00CD2EF2" w:rsidRDefault="00CD2EF2" w:rsidP="00BA1400">
      <w:pPr>
        <w:pStyle w:val="20"/>
        <w:spacing w:line="240" w:lineRule="auto"/>
        <w:ind w:firstLine="372"/>
        <w:rPr>
          <w:sz w:val="18"/>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6"/>
        <w:gridCol w:w="5028"/>
      </w:tblGrid>
      <w:tr w:rsidR="00CD2EF2">
        <w:trPr>
          <w:trHeight w:val="680"/>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40" w:lineRule="atLeast"/>
              <w:ind w:firstLineChars="0" w:firstLine="0"/>
              <w:jc w:val="center"/>
              <w:rPr>
                <w:rFonts w:ascii="黑体" w:eastAsia="黑体" w:hAnsi="黑体"/>
                <w:spacing w:val="-6"/>
                <w:sz w:val="28"/>
                <w:szCs w:val="28"/>
              </w:rPr>
            </w:pPr>
            <w:r>
              <w:rPr>
                <w:rFonts w:ascii="黑体" w:eastAsia="黑体" w:hAnsi="黑体" w:hint="eastAsia"/>
                <w:spacing w:val="-6"/>
                <w:sz w:val="28"/>
                <w:szCs w:val="28"/>
              </w:rPr>
              <w:t>专栏</w:t>
            </w:r>
            <w:r>
              <w:rPr>
                <w:rFonts w:ascii="黑体" w:eastAsia="黑体" w:hAnsi="黑体" w:hint="eastAsia"/>
                <w:spacing w:val="-6"/>
                <w:sz w:val="28"/>
                <w:szCs w:val="28"/>
              </w:rPr>
              <w:t xml:space="preserve">6  </w:t>
            </w:r>
            <w:r>
              <w:rPr>
                <w:rFonts w:ascii="黑体" w:eastAsia="黑体" w:hAnsi="黑体" w:hint="eastAsia"/>
                <w:spacing w:val="-6"/>
                <w:sz w:val="28"/>
                <w:szCs w:val="28"/>
              </w:rPr>
              <w:t>“十四五”时期杭州对外贸易十大工程</w:t>
            </w:r>
          </w:p>
        </w:tc>
      </w:tr>
      <w:tr w:rsidR="00CD2EF2">
        <w:trPr>
          <w:trHeight w:val="567"/>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工程名称</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主要内容</w:t>
            </w:r>
          </w:p>
        </w:tc>
      </w:tr>
      <w:tr w:rsidR="00CD2EF2">
        <w:trPr>
          <w:trHeight w:val="1215"/>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“海外杭州”会展平台升级工程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瞄准欧盟、</w:t>
            </w:r>
            <w:r>
              <w:rPr>
                <w:rFonts w:ascii="仿宋_GB2312" w:hAnsi="仿宋_GB2312" w:hint="eastAsia"/>
                <w:sz w:val="24"/>
              </w:rPr>
              <w:t>RCEP</w:t>
            </w:r>
            <w:r>
              <w:rPr>
                <w:rFonts w:ascii="仿宋_GB2312" w:hAnsi="仿宋_GB2312" w:hint="eastAsia"/>
                <w:sz w:val="24"/>
              </w:rPr>
              <w:t>区域重点国家加快布局，在外贸新渠道上强化数字赋能，</w:t>
            </w:r>
            <w:proofErr w:type="gramStart"/>
            <w:r>
              <w:rPr>
                <w:rFonts w:ascii="仿宋_GB2312" w:hAnsi="仿宋_GB2312" w:hint="eastAsia"/>
                <w:sz w:val="24"/>
              </w:rPr>
              <w:t>探索线</w:t>
            </w:r>
            <w:proofErr w:type="gramEnd"/>
            <w:r>
              <w:rPr>
                <w:rFonts w:ascii="仿宋_GB2312" w:hAnsi="仿宋_GB2312" w:hint="eastAsia"/>
                <w:sz w:val="24"/>
              </w:rPr>
              <w:t>上线下相结合的展会新模式。</w:t>
            </w:r>
          </w:p>
        </w:tc>
      </w:tr>
      <w:tr w:rsidR="00CD2EF2">
        <w:trPr>
          <w:trHeight w:val="1125"/>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proofErr w:type="gramStart"/>
            <w:r>
              <w:rPr>
                <w:rFonts w:ascii="仿宋_GB2312" w:hAnsi="仿宋_GB2312" w:hint="eastAsia"/>
                <w:sz w:val="24"/>
              </w:rPr>
              <w:t>数字外贸</w:t>
            </w:r>
            <w:proofErr w:type="gramEnd"/>
            <w:r>
              <w:rPr>
                <w:rFonts w:ascii="仿宋_GB2312" w:hAnsi="仿宋_GB2312" w:hint="eastAsia"/>
                <w:sz w:val="24"/>
              </w:rPr>
              <w:t>综合服务平台升级工程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整合一批质量、品牌、推广、运营、金融、展会、知识产权等方面的外贸综合服务企业，形成外贸生态服务链。</w:t>
            </w:r>
          </w:p>
        </w:tc>
      </w:tr>
      <w:tr w:rsidR="00CD2EF2">
        <w:trPr>
          <w:trHeight w:val="1103"/>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内外贸一体化双循环工程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建立知识产权、金融融资、线上线下平台等出口转内销服务联盟，帮助企业从各个环节开拓国内市场。</w:t>
            </w:r>
          </w:p>
        </w:tc>
      </w:tr>
      <w:tr w:rsidR="00CD2EF2">
        <w:trPr>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贸易摩擦应对（化解）提升工程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探索建立多主体协同的贸易摩擦应对体系性工作机制，努力形成监测分析、风险发布、行业预警、法律援助、贸易合</w:t>
            </w:r>
            <w:proofErr w:type="gramStart"/>
            <w:r>
              <w:rPr>
                <w:rFonts w:ascii="仿宋_GB2312" w:hAnsi="仿宋_GB2312" w:hint="eastAsia"/>
                <w:sz w:val="24"/>
              </w:rPr>
              <w:t>规</w:t>
            </w:r>
            <w:proofErr w:type="gramEnd"/>
            <w:r>
              <w:rPr>
                <w:rFonts w:ascii="仿宋_GB2312" w:hAnsi="仿宋_GB2312" w:hint="eastAsia"/>
                <w:sz w:val="24"/>
              </w:rPr>
              <w:t>、知识产权等全链条一站式服务。</w:t>
            </w:r>
          </w:p>
        </w:tc>
      </w:tr>
      <w:tr w:rsidR="00CD2EF2">
        <w:trPr>
          <w:trHeight w:val="1515"/>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外贸新业态培育工程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培育外贸综合服务企业发展，推进境外经贸综合服务体系建设，鼓励各地探索出台“一区</w:t>
            </w:r>
            <w:proofErr w:type="gramStart"/>
            <w:r>
              <w:rPr>
                <w:rFonts w:ascii="仿宋_GB2312" w:hAnsi="仿宋_GB2312" w:hint="eastAsia"/>
                <w:sz w:val="24"/>
              </w:rPr>
              <w:t>一</w:t>
            </w:r>
            <w:proofErr w:type="gramEnd"/>
            <w:r>
              <w:rPr>
                <w:rFonts w:ascii="仿宋_GB2312" w:hAnsi="仿宋_GB2312" w:hint="eastAsia"/>
                <w:sz w:val="24"/>
              </w:rPr>
              <w:t>模式”，积极</w:t>
            </w:r>
            <w:proofErr w:type="gramStart"/>
            <w:r>
              <w:rPr>
                <w:rFonts w:ascii="仿宋_GB2312" w:hAnsi="仿宋_GB2312" w:hint="eastAsia"/>
                <w:sz w:val="24"/>
              </w:rPr>
              <w:t>尝试线</w:t>
            </w:r>
            <w:proofErr w:type="gramEnd"/>
            <w:r>
              <w:rPr>
                <w:rFonts w:ascii="仿宋_GB2312" w:hAnsi="仿宋_GB2312" w:hint="eastAsia"/>
                <w:sz w:val="24"/>
              </w:rPr>
              <w:t>上采购贸易、海外仓、跨境电商</w:t>
            </w:r>
            <w:r>
              <w:rPr>
                <w:rFonts w:ascii="仿宋_GB2312" w:hAnsi="仿宋_GB2312" w:hint="eastAsia"/>
                <w:sz w:val="24"/>
              </w:rPr>
              <w:t>B2B</w:t>
            </w:r>
            <w:r>
              <w:rPr>
                <w:rFonts w:ascii="仿宋_GB2312" w:hAnsi="仿宋_GB2312" w:hint="eastAsia"/>
                <w:sz w:val="24"/>
              </w:rPr>
              <w:t>和二手车出口等新</w:t>
            </w:r>
            <w:proofErr w:type="gramStart"/>
            <w:r>
              <w:rPr>
                <w:rFonts w:ascii="仿宋_GB2312" w:hAnsi="仿宋_GB2312" w:hint="eastAsia"/>
                <w:sz w:val="24"/>
              </w:rPr>
              <w:t>业态新方式</w:t>
            </w:r>
            <w:proofErr w:type="gramEnd"/>
            <w:r>
              <w:rPr>
                <w:rFonts w:ascii="仿宋_GB2312" w:hAnsi="仿宋_GB2312" w:hint="eastAsia"/>
                <w:sz w:val="24"/>
              </w:rPr>
              <w:t>。</w:t>
            </w:r>
          </w:p>
        </w:tc>
      </w:tr>
      <w:tr w:rsidR="00CD2EF2">
        <w:trPr>
          <w:trHeight w:val="1958"/>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知识产权保护和品牌培育工程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构建海外知识产权维权援助工作体系，开展知识产权分析预警、风险发布和维权指导。鼓励有实力的外贸企业建立自主品牌，开展海外品牌收购，加大海外品牌、商标等的注册维权，持续开展省、市出口名牌培育认定。</w:t>
            </w:r>
          </w:p>
        </w:tc>
      </w:tr>
      <w:tr w:rsidR="00CD2EF2">
        <w:trPr>
          <w:trHeight w:val="1681"/>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lastRenderedPageBreak/>
              <w:t>贸易融资创新工程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实施金融创新，进一步加大“杭信贷”融资宣传推广。创新开展贸易真实性评估等第三方风险融资服务，实现中小微外贸企业融资全覆盖，积极争取国家和浙江省贸易融资试点。</w:t>
            </w:r>
          </w:p>
        </w:tc>
      </w:tr>
      <w:tr w:rsidR="00CD2EF2">
        <w:trPr>
          <w:trHeight w:val="1381"/>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proofErr w:type="gramStart"/>
            <w:r>
              <w:rPr>
                <w:rFonts w:ascii="仿宋_GB2312" w:hAnsi="仿宋_GB2312" w:hint="eastAsia"/>
                <w:sz w:val="24"/>
              </w:rPr>
              <w:t>数字外贸</w:t>
            </w:r>
            <w:proofErr w:type="gramEnd"/>
            <w:r>
              <w:rPr>
                <w:rFonts w:ascii="仿宋_GB2312" w:hAnsi="仿宋_GB2312" w:hint="eastAsia"/>
                <w:sz w:val="24"/>
              </w:rPr>
              <w:t>研究赋能工程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充分发挥新丝路数字外贸研究院作用，加快</w:t>
            </w:r>
            <w:proofErr w:type="gramStart"/>
            <w:r>
              <w:rPr>
                <w:rFonts w:ascii="仿宋_GB2312" w:hAnsi="仿宋_GB2312" w:hint="eastAsia"/>
                <w:sz w:val="24"/>
              </w:rPr>
              <w:t>数字外贸智库</w:t>
            </w:r>
            <w:proofErr w:type="gramEnd"/>
            <w:r>
              <w:rPr>
                <w:rFonts w:ascii="仿宋_GB2312" w:hAnsi="仿宋_GB2312" w:hint="eastAsia"/>
                <w:sz w:val="24"/>
              </w:rPr>
              <w:t>建设，深入开展国际合作交流。</w:t>
            </w:r>
          </w:p>
        </w:tc>
      </w:tr>
      <w:tr w:rsidR="00CD2EF2">
        <w:trPr>
          <w:trHeight w:val="1591"/>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高质量外贸人才培养工程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探索多元化的培养模式，采取“线上</w:t>
            </w:r>
            <w:r>
              <w:rPr>
                <w:rFonts w:ascii="仿宋_GB2312" w:hAnsi="仿宋_GB2312" w:hint="eastAsia"/>
                <w:sz w:val="24"/>
              </w:rPr>
              <w:t>+</w:t>
            </w:r>
            <w:r>
              <w:rPr>
                <w:rFonts w:ascii="仿宋_GB2312" w:hAnsi="仿宋_GB2312" w:hint="eastAsia"/>
                <w:sz w:val="24"/>
              </w:rPr>
              <w:t>线下”“长期</w:t>
            </w:r>
            <w:r>
              <w:rPr>
                <w:rFonts w:ascii="仿宋_GB2312" w:hAnsi="仿宋_GB2312" w:hint="eastAsia"/>
                <w:sz w:val="24"/>
              </w:rPr>
              <w:t>+</w:t>
            </w:r>
            <w:r>
              <w:rPr>
                <w:rFonts w:ascii="仿宋_GB2312" w:hAnsi="仿宋_GB2312" w:hint="eastAsia"/>
                <w:sz w:val="24"/>
              </w:rPr>
              <w:t>短期”结合的方式，深入实施新外贸人才知识更新工程，对政府外贸管理干部、创业者、企业家、外贸从业人员等开展分梯队、分层次培训。</w:t>
            </w:r>
          </w:p>
        </w:tc>
      </w:tr>
      <w:tr w:rsidR="00CD2EF2">
        <w:trPr>
          <w:trHeight w:val="1353"/>
          <w:jc w:val="center"/>
        </w:trPr>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jc w:val="center"/>
              <w:rPr>
                <w:rFonts w:ascii="仿宋_GB2312" w:hAnsi="仿宋_GB2312"/>
                <w:sz w:val="24"/>
              </w:rPr>
            </w:pPr>
            <w:r>
              <w:rPr>
                <w:rFonts w:ascii="仿宋_GB2312" w:hAnsi="仿宋_GB2312" w:hint="eastAsia"/>
                <w:sz w:val="24"/>
              </w:rPr>
              <w:t>RCEP</w:t>
            </w:r>
            <w:r>
              <w:rPr>
                <w:rFonts w:ascii="仿宋_GB2312" w:hAnsi="仿宋_GB2312" w:hint="eastAsia"/>
                <w:sz w:val="24"/>
              </w:rPr>
              <w:t>协议落地实施工程</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rFonts w:ascii="仿宋_GB2312" w:hAnsi="仿宋_GB2312"/>
                <w:sz w:val="24"/>
              </w:rPr>
            </w:pPr>
            <w:r>
              <w:rPr>
                <w:rFonts w:ascii="仿宋_GB2312" w:hAnsi="仿宋_GB2312" w:hint="eastAsia"/>
                <w:sz w:val="24"/>
              </w:rPr>
              <w:t>做好</w:t>
            </w:r>
            <w:r>
              <w:rPr>
                <w:rFonts w:ascii="仿宋_GB2312" w:hAnsi="仿宋_GB2312" w:hint="eastAsia"/>
                <w:sz w:val="24"/>
              </w:rPr>
              <w:t>RCEP</w:t>
            </w:r>
            <w:r>
              <w:rPr>
                <w:rFonts w:ascii="仿宋_GB2312" w:hAnsi="仿宋_GB2312" w:hint="eastAsia"/>
                <w:sz w:val="24"/>
              </w:rPr>
              <w:t>协议研究工作，结合自贸试验区杭州片区建设，从规划建设、产业培育、数字服务等方面共同打造</w:t>
            </w:r>
            <w:r>
              <w:rPr>
                <w:rFonts w:ascii="仿宋_GB2312" w:hAnsi="仿宋_GB2312" w:hint="eastAsia"/>
                <w:sz w:val="24"/>
              </w:rPr>
              <w:t>RCEP</w:t>
            </w:r>
            <w:r>
              <w:rPr>
                <w:rFonts w:ascii="仿宋_GB2312" w:hAnsi="仿宋_GB2312" w:hint="eastAsia"/>
                <w:sz w:val="24"/>
              </w:rPr>
              <w:t>示范区。</w:t>
            </w:r>
          </w:p>
        </w:tc>
      </w:tr>
    </w:tbl>
    <w:p w:rsidR="00CD2EF2" w:rsidRDefault="003F5178" w:rsidP="00BA1400">
      <w:pPr>
        <w:pStyle w:val="20"/>
        <w:spacing w:beforeLines="50" w:before="295" w:line="336" w:lineRule="auto"/>
        <w:ind w:firstLine="628"/>
        <w:outlineLvl w:val="1"/>
        <w:rPr>
          <w:rFonts w:eastAsia="楷体_GB2312"/>
          <w:spacing w:val="-6"/>
        </w:rPr>
      </w:pPr>
      <w:bookmarkStart w:id="196" w:name="_Toc29185"/>
      <w:bookmarkStart w:id="197" w:name="_Toc25499"/>
      <w:bookmarkStart w:id="198" w:name="_Toc29635"/>
      <w:bookmarkStart w:id="199" w:name="_Toc10234"/>
      <w:bookmarkStart w:id="200" w:name="_Toc3930"/>
      <w:bookmarkStart w:id="201" w:name="_Toc14201"/>
      <w:bookmarkStart w:id="202" w:name="_Toc15441"/>
      <w:bookmarkStart w:id="203" w:name="_Toc30970"/>
      <w:bookmarkStart w:id="204" w:name="_Toc18947"/>
      <w:bookmarkStart w:id="205" w:name="_Toc29751"/>
      <w:bookmarkStart w:id="206" w:name="_Toc5846"/>
      <w:r>
        <w:rPr>
          <w:rFonts w:eastAsia="楷体_GB2312" w:hint="eastAsia"/>
          <w:spacing w:val="-6"/>
        </w:rPr>
        <w:t>（七）大力发展数字服务贸易，深化服务贸易创新发展</w:t>
      </w:r>
      <w:bookmarkEnd w:id="196"/>
      <w:bookmarkEnd w:id="197"/>
      <w:bookmarkEnd w:id="198"/>
      <w:bookmarkEnd w:id="199"/>
      <w:bookmarkEnd w:id="200"/>
      <w:bookmarkEnd w:id="201"/>
      <w:bookmarkEnd w:id="202"/>
      <w:bookmarkEnd w:id="203"/>
      <w:bookmarkEnd w:id="204"/>
      <w:bookmarkEnd w:id="205"/>
      <w:bookmarkEnd w:id="206"/>
      <w:r>
        <w:rPr>
          <w:rFonts w:eastAsia="楷体_GB2312" w:hint="eastAsia"/>
          <w:spacing w:val="-6"/>
        </w:rPr>
        <w:t>。</w:t>
      </w:r>
    </w:p>
    <w:p w:rsidR="00CD2EF2" w:rsidRDefault="003F5178" w:rsidP="00BA1400">
      <w:pPr>
        <w:adjustRightInd w:val="0"/>
        <w:snapToGrid w:val="0"/>
        <w:spacing w:afterLines="50" w:after="295" w:line="336" w:lineRule="auto"/>
        <w:ind w:firstLineChars="200" w:firstLine="628"/>
      </w:pPr>
      <w:r>
        <w:rPr>
          <w:rFonts w:ascii="仿宋_GB2312" w:hAnsi="仿宋_GB2312" w:hint="eastAsia"/>
        </w:rPr>
        <w:t>1.</w:t>
      </w:r>
      <w:r>
        <w:rPr>
          <w:rFonts w:ascii="仿宋_GB2312" w:hAnsi="仿宋_GB2312" w:hint="eastAsia"/>
        </w:rPr>
        <w:t>强化数字驱动发展。推动服务贸易企业“上云用数赋智”，利用大数据、</w:t>
      </w:r>
      <w:proofErr w:type="gramStart"/>
      <w:r>
        <w:rPr>
          <w:rFonts w:ascii="仿宋_GB2312" w:hAnsi="仿宋_GB2312" w:hint="eastAsia"/>
        </w:rPr>
        <w:t>云服务</w:t>
      </w:r>
      <w:proofErr w:type="gramEnd"/>
      <w:r>
        <w:rPr>
          <w:rFonts w:ascii="仿宋_GB2312" w:hAnsi="仿宋_GB2312" w:hint="eastAsia"/>
        </w:rPr>
        <w:t>等技术，实现由信息化、自动化向数字化、智能化转型。加快软件通信、云计算、数字传媒、数字娱乐等新一代信息技术服务和数字内容服务出口。大力发展在线教育、远程医疗、数字文旅、智慧物流等新兴服务贸易，加快线上线下联动、数据与实体联动的“数字</w:t>
      </w:r>
      <w:r>
        <w:rPr>
          <w:rFonts w:ascii="仿宋_GB2312" w:hAnsi="仿宋_GB2312" w:hint="eastAsia"/>
        </w:rPr>
        <w:t>+</w:t>
      </w:r>
      <w:r>
        <w:rPr>
          <w:rFonts w:ascii="仿宋_GB2312" w:hAnsi="仿宋_GB2312" w:hint="eastAsia"/>
        </w:rPr>
        <w:t>”服务贸易新业态发展。推动人工智能技术在设计研发领域的深度应用，强化互联网交付的离岸服务外包发展。围绕跨境电子商务综合试点建设，加快发展在线支付、融资租赁、信用保险、知识产权、物流运输等服务。</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2773"/>
        <w:gridCol w:w="3404"/>
      </w:tblGrid>
      <w:tr w:rsidR="00CD2EF2">
        <w:trPr>
          <w:trHeight w:val="680"/>
          <w:jc w:val="center"/>
        </w:trPr>
        <w:tc>
          <w:tcPr>
            <w:tcW w:w="88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8"/>
                <w:szCs w:val="28"/>
              </w:rPr>
            </w:pPr>
            <w:r>
              <w:rPr>
                <w:rFonts w:ascii="黑体" w:eastAsia="黑体" w:hAnsi="黑体" w:hint="eastAsia"/>
                <w:sz w:val="28"/>
                <w:szCs w:val="28"/>
              </w:rPr>
              <w:lastRenderedPageBreak/>
              <w:t>专栏</w:t>
            </w:r>
            <w:r>
              <w:rPr>
                <w:rFonts w:ascii="黑体" w:eastAsia="黑体" w:hAnsi="黑体" w:hint="eastAsia"/>
                <w:sz w:val="28"/>
                <w:szCs w:val="28"/>
              </w:rPr>
              <w:t xml:space="preserve">7  </w:t>
            </w:r>
            <w:r>
              <w:rPr>
                <w:rFonts w:ascii="黑体" w:eastAsia="黑体" w:hAnsi="黑体" w:hint="eastAsia"/>
                <w:sz w:val="28"/>
                <w:szCs w:val="28"/>
              </w:rPr>
              <w:t>“十四五”</w:t>
            </w:r>
            <w:r>
              <w:rPr>
                <w:rFonts w:ascii="黑体" w:eastAsia="黑体" w:hAnsi="黑体" w:hint="eastAsia"/>
                <w:sz w:val="28"/>
                <w:szCs w:val="28"/>
              </w:rPr>
              <w:t>时</w:t>
            </w:r>
            <w:r>
              <w:rPr>
                <w:rFonts w:ascii="黑体" w:eastAsia="黑体" w:hAnsi="黑体" w:hint="eastAsia"/>
                <w:sz w:val="28"/>
                <w:szCs w:val="28"/>
              </w:rPr>
              <w:t>期杭州服务贸易空间布局</w:t>
            </w:r>
          </w:p>
        </w:tc>
      </w:tr>
      <w:tr w:rsidR="00CD2EF2">
        <w:trPr>
          <w:trHeight w:val="567"/>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空间布局模式</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空间范围</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重点发展内容</w:t>
            </w:r>
          </w:p>
        </w:tc>
      </w:tr>
      <w:tr w:rsidR="00CD2EF2">
        <w:trPr>
          <w:trHeight w:val="1341"/>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proofErr w:type="gramStart"/>
            <w:r>
              <w:rPr>
                <w:rFonts w:hint="eastAsia"/>
                <w:sz w:val="24"/>
              </w:rPr>
              <w:t>一</w:t>
            </w:r>
            <w:proofErr w:type="gramEnd"/>
            <w:r>
              <w:rPr>
                <w:rFonts w:hint="eastAsia"/>
                <w:sz w:val="24"/>
              </w:rPr>
              <w:t>核：服务贸易核心聚集区</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杭州市上城区、拱</w:t>
            </w:r>
            <w:proofErr w:type="gramStart"/>
            <w:r>
              <w:rPr>
                <w:rFonts w:hint="eastAsia"/>
                <w:sz w:val="24"/>
              </w:rPr>
              <w:t>墅</w:t>
            </w:r>
            <w:proofErr w:type="gramEnd"/>
            <w:r>
              <w:rPr>
                <w:rFonts w:hint="eastAsia"/>
                <w:sz w:val="24"/>
              </w:rPr>
              <w:t>区、西湖区、杭州高新</w:t>
            </w:r>
            <w:r>
              <w:rPr>
                <w:rFonts w:hint="eastAsia"/>
                <w:sz w:val="24"/>
              </w:rPr>
              <w:t>开发</w:t>
            </w:r>
            <w:r>
              <w:rPr>
                <w:rFonts w:hint="eastAsia"/>
                <w:sz w:val="24"/>
              </w:rPr>
              <w:t>区（滨江）</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left"/>
              <w:rPr>
                <w:sz w:val="24"/>
              </w:rPr>
            </w:pPr>
            <w:r>
              <w:rPr>
                <w:rFonts w:hint="eastAsia"/>
                <w:sz w:val="24"/>
              </w:rPr>
              <w:t>数字服务、文化创意服务、跨境电子商务、金融保险服务、知识产权服务、专业服务等</w:t>
            </w:r>
          </w:p>
        </w:tc>
      </w:tr>
      <w:tr w:rsidR="00CD2EF2">
        <w:trPr>
          <w:trHeight w:val="1541"/>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一带：服务贸易发展新的增长带</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钱江新城、钱塘智慧城及</w:t>
            </w:r>
            <w:proofErr w:type="gramStart"/>
            <w:r>
              <w:rPr>
                <w:rFonts w:hint="eastAsia"/>
                <w:sz w:val="24"/>
              </w:rPr>
              <w:t>各特色</w:t>
            </w:r>
            <w:proofErr w:type="gramEnd"/>
            <w:r>
              <w:rPr>
                <w:rFonts w:hint="eastAsia"/>
                <w:sz w:val="24"/>
              </w:rPr>
              <w:t>小镇（钱塘江及主要支流沿线）</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left"/>
              <w:rPr>
                <w:sz w:val="24"/>
              </w:rPr>
            </w:pPr>
            <w:r>
              <w:rPr>
                <w:rFonts w:hint="eastAsia"/>
                <w:sz w:val="24"/>
              </w:rPr>
              <w:t>医疗卫生及康养服务、旅游休闲服务、教育服务、文化创意等</w:t>
            </w:r>
          </w:p>
        </w:tc>
      </w:tr>
      <w:tr w:rsidR="00CD2EF2">
        <w:trPr>
          <w:trHeight w:val="1336"/>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两翼：数字服务贸易特色示范区</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杭州</w:t>
            </w:r>
            <w:proofErr w:type="gramStart"/>
            <w:r>
              <w:rPr>
                <w:rFonts w:hint="eastAsia"/>
                <w:sz w:val="24"/>
              </w:rPr>
              <w:t>城西科创</w:t>
            </w:r>
            <w:proofErr w:type="gramEnd"/>
            <w:r>
              <w:rPr>
                <w:rFonts w:hint="eastAsia"/>
                <w:sz w:val="24"/>
              </w:rPr>
              <w:t>大走廊、</w:t>
            </w:r>
            <w:proofErr w:type="gramStart"/>
            <w:r>
              <w:rPr>
                <w:rFonts w:hint="eastAsia"/>
                <w:sz w:val="24"/>
              </w:rPr>
              <w:t>钱塘区</w:t>
            </w:r>
            <w:proofErr w:type="gramEnd"/>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left"/>
              <w:rPr>
                <w:sz w:val="24"/>
              </w:rPr>
            </w:pPr>
            <w:r>
              <w:rPr>
                <w:rFonts w:hint="eastAsia"/>
                <w:sz w:val="24"/>
              </w:rPr>
              <w:t>服务外包、计算机和信息服务、跨境电子商务服务、高新技术服务、研发服务等</w:t>
            </w:r>
          </w:p>
        </w:tc>
      </w:tr>
      <w:tr w:rsidR="00CD2EF2">
        <w:trPr>
          <w:trHeight w:val="2785"/>
          <w:jc w:val="center"/>
        </w:trPr>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多基地：杭州技术密集型服务贸易基地</w:t>
            </w:r>
          </w:p>
        </w:tc>
        <w:tc>
          <w:tcPr>
            <w:tcW w:w="2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杭州高新区（滨江）物联网产业</w:t>
            </w:r>
            <w:proofErr w:type="gramStart"/>
            <w:r>
              <w:rPr>
                <w:rFonts w:hint="eastAsia"/>
                <w:sz w:val="24"/>
              </w:rPr>
              <w:t>园数字</w:t>
            </w:r>
            <w:proofErr w:type="gramEnd"/>
            <w:r>
              <w:rPr>
                <w:rFonts w:hint="eastAsia"/>
                <w:sz w:val="24"/>
              </w:rPr>
              <w:t>服务出口基地、中国（浙江）影视产业国际合作区国家文化出口基地和</w:t>
            </w:r>
            <w:proofErr w:type="gramStart"/>
            <w:r>
              <w:rPr>
                <w:rFonts w:hint="eastAsia"/>
                <w:sz w:val="24"/>
              </w:rPr>
              <w:t>浙大网</w:t>
            </w:r>
            <w:proofErr w:type="gramEnd"/>
            <w:r>
              <w:rPr>
                <w:rFonts w:hint="eastAsia"/>
                <w:sz w:val="24"/>
              </w:rPr>
              <w:t>新软件园等服务贸易示范园区</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left"/>
              <w:rPr>
                <w:sz w:val="24"/>
              </w:rPr>
            </w:pPr>
            <w:r>
              <w:rPr>
                <w:rFonts w:hint="eastAsia"/>
                <w:sz w:val="24"/>
              </w:rPr>
              <w:t>服务外包、计算机和信息服务、跨境电子商务服务、高新技术服务、研发服务、建筑及相关工程服务、文化创意等</w:t>
            </w:r>
          </w:p>
        </w:tc>
      </w:tr>
    </w:tbl>
    <w:p w:rsidR="00CD2EF2" w:rsidRDefault="003F5178" w:rsidP="00BA1400">
      <w:pPr>
        <w:snapToGrid w:val="0"/>
        <w:spacing w:beforeLines="50" w:before="295"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扩大全面开放合作。放宽服务贸易市场准入，探索大幅降低服务业市场准入限制。实施服务贸易招商引资促进计划，鼓励金融、医疗等领域跨国公司在杭设立地区总部或功能性机构。支持电子商务、影视制作、智能安防等领域头部企业拓展全球市场。依托自由贸易试验区与全面深化服务贸易创新发展试点，形成“自贸</w:t>
      </w:r>
      <w:r>
        <w:rPr>
          <w:rFonts w:ascii="仿宋_GB2312" w:hAnsi="仿宋_GB2312" w:hint="eastAsia"/>
        </w:rPr>
        <w:t>+</w:t>
      </w:r>
      <w:r>
        <w:rPr>
          <w:rFonts w:ascii="仿宋_GB2312" w:hAnsi="仿宋_GB2312" w:hint="eastAsia"/>
        </w:rPr>
        <w:t>服贸”</w:t>
      </w:r>
      <w:proofErr w:type="gramStart"/>
      <w:r>
        <w:rPr>
          <w:rFonts w:ascii="仿宋_GB2312" w:hAnsi="仿宋_GB2312" w:hint="eastAsia"/>
        </w:rPr>
        <w:t>双试联动</w:t>
      </w:r>
      <w:proofErr w:type="gramEnd"/>
      <w:r>
        <w:rPr>
          <w:rFonts w:ascii="仿宋_GB2312" w:hAnsi="仿宋_GB2312" w:hint="eastAsia"/>
        </w:rPr>
        <w:t>新格局。探索建立服务贸易双边合作机制地方（杭州）示范区。推进杭港（望江）高端服务业合作示范区建设。</w:t>
      </w:r>
      <w:r>
        <w:rPr>
          <w:rFonts w:ascii="仿宋_GB2312" w:hAnsi="仿宋_GB2312" w:hint="eastAsia"/>
        </w:rPr>
        <w:lastRenderedPageBreak/>
        <w:t>放大亚运会筹办综合效应，推进国际学校、国际医院、国际社区等建设。筹办好</w:t>
      </w:r>
      <w:r>
        <w:rPr>
          <w:rFonts w:ascii="仿宋_GB2312" w:hAnsi="仿宋_GB2312" w:hint="eastAsia"/>
        </w:rPr>
        <w:t>AIPPI</w:t>
      </w:r>
      <w:r>
        <w:rPr>
          <w:rFonts w:ascii="仿宋_GB2312" w:hAnsi="仿宋_GB2312" w:hint="eastAsia"/>
        </w:rPr>
        <w:t>世界知识产权大会，引入国际高水平知</w:t>
      </w:r>
      <w:r>
        <w:rPr>
          <w:rFonts w:ascii="仿宋_GB2312" w:hAnsi="仿宋_GB2312" w:hint="eastAsia"/>
        </w:rPr>
        <w:t>识产权服务机构。争取合格境外有限合伙人（</w:t>
      </w:r>
      <w:r>
        <w:rPr>
          <w:rFonts w:ascii="仿宋_GB2312" w:hAnsi="仿宋_GB2312" w:hint="eastAsia"/>
        </w:rPr>
        <w:t>QFLP</w:t>
      </w:r>
      <w:r>
        <w:rPr>
          <w:rFonts w:ascii="仿宋_GB2312" w:hAnsi="仿宋_GB2312" w:hint="eastAsia"/>
        </w:rPr>
        <w:t>）试点改革。争取中国人民银行数字人民币试点。</w:t>
      </w:r>
    </w:p>
    <w:p w:rsidR="00CD2EF2" w:rsidRDefault="003F5178">
      <w:pPr>
        <w:snapToGrid w:val="0"/>
        <w:spacing w:line="336" w:lineRule="auto"/>
        <w:ind w:firstLine="640"/>
        <w:rPr>
          <w:rFonts w:ascii="仿宋_GB2312" w:hAnsi="仿宋_GB2312"/>
        </w:rPr>
      </w:pPr>
      <w:r>
        <w:rPr>
          <w:rFonts w:ascii="仿宋_GB2312" w:hAnsi="仿宋_GB2312" w:hint="eastAsia"/>
        </w:rPr>
        <w:t>3.</w:t>
      </w:r>
      <w:r>
        <w:rPr>
          <w:rFonts w:ascii="仿宋_GB2312" w:hAnsi="仿宋_GB2312" w:hint="eastAsia"/>
        </w:rPr>
        <w:t>创新服务贸易载体。发挥国家数字服务出口基地、国家文化出口基地等作用，带动服务贸易聚集化、特色化、品牌化发展。认定更多的市级服务贸易重点园区和特色服务出口基地。加快推进国际会议目的地城市和会展新城建设，积极举办大型数字贸易博览会，深化“网展贸”发展模式，建设“展览</w:t>
      </w:r>
      <w:r>
        <w:rPr>
          <w:rFonts w:ascii="仿宋_GB2312" w:hAnsi="仿宋_GB2312" w:hint="eastAsia"/>
        </w:rPr>
        <w:t>+</w:t>
      </w:r>
      <w:r>
        <w:rPr>
          <w:rFonts w:ascii="仿宋_GB2312" w:hAnsi="仿宋_GB2312" w:hint="eastAsia"/>
        </w:rPr>
        <w:t>互联网</w:t>
      </w:r>
      <w:r>
        <w:rPr>
          <w:rFonts w:ascii="仿宋_GB2312" w:hAnsi="仿宋_GB2312" w:hint="eastAsia"/>
        </w:rPr>
        <w:t>+</w:t>
      </w:r>
      <w:r>
        <w:rPr>
          <w:rFonts w:ascii="仿宋_GB2312" w:hAnsi="仿宋_GB2312" w:hint="eastAsia"/>
        </w:rPr>
        <w:t>供应链”三位一体的跨境服务境外推广平台。大力发展新兴会展业态，支持会展业与商业、旅游、文化、体育等产业联动发展。推进杭州市展馆建设，打造会展</w:t>
      </w:r>
      <w:proofErr w:type="gramStart"/>
      <w:r>
        <w:rPr>
          <w:rFonts w:ascii="仿宋_GB2312" w:hAnsi="仿宋_GB2312" w:hint="eastAsia"/>
        </w:rPr>
        <w:t>业</w:t>
      </w:r>
      <w:r>
        <w:rPr>
          <w:rFonts w:ascii="仿宋_GB2312" w:hAnsi="仿宋_GB2312" w:hint="eastAsia"/>
        </w:rPr>
        <w:t>产业</w:t>
      </w:r>
      <w:proofErr w:type="gramEnd"/>
      <w:r>
        <w:rPr>
          <w:rFonts w:ascii="仿宋_GB2312" w:hAnsi="仿宋_GB2312" w:hint="eastAsia"/>
        </w:rPr>
        <w:t>集聚区。充分发挥中国（杭州）跨境电子商务综合试验区线上综合服务平台和跨境电</w:t>
      </w:r>
      <w:proofErr w:type="gramStart"/>
      <w:r>
        <w:rPr>
          <w:rFonts w:ascii="仿宋_GB2312" w:hAnsi="仿宋_GB2312" w:hint="eastAsia"/>
        </w:rPr>
        <w:t>商质量</w:t>
      </w:r>
      <w:proofErr w:type="gramEnd"/>
      <w:r>
        <w:rPr>
          <w:rFonts w:ascii="仿宋_GB2312" w:hAnsi="仿宋_GB2312" w:hint="eastAsia"/>
        </w:rPr>
        <w:t>安全风险国家监测中心作用，推动跨境电</w:t>
      </w:r>
      <w:proofErr w:type="gramStart"/>
      <w:r>
        <w:rPr>
          <w:rFonts w:ascii="仿宋_GB2312" w:hAnsi="仿宋_GB2312" w:hint="eastAsia"/>
        </w:rPr>
        <w:t>商配套</w:t>
      </w:r>
      <w:proofErr w:type="gramEnd"/>
      <w:r>
        <w:rPr>
          <w:rFonts w:ascii="仿宋_GB2312" w:hAnsi="仿宋_GB2312" w:hint="eastAsia"/>
        </w:rPr>
        <w:t>服务发展。依托知识产权综合服务中心、文化创新平台，为技术、文化等服务贸易领域“走出去”提供保障。加快生物制品跨境服务中心建设。</w:t>
      </w:r>
    </w:p>
    <w:p w:rsidR="00CD2EF2" w:rsidRDefault="003F5178">
      <w:pPr>
        <w:snapToGrid w:val="0"/>
        <w:spacing w:line="336" w:lineRule="auto"/>
        <w:ind w:firstLine="640"/>
        <w:rPr>
          <w:rFonts w:ascii="仿宋_GB2312" w:hAnsi="仿宋_GB2312"/>
        </w:rPr>
      </w:pPr>
      <w:r>
        <w:rPr>
          <w:rFonts w:ascii="仿宋_GB2312" w:hAnsi="仿宋_GB2312" w:hint="eastAsia"/>
        </w:rPr>
        <w:t>4.</w:t>
      </w:r>
      <w:r>
        <w:rPr>
          <w:rFonts w:ascii="仿宋_GB2312" w:hAnsi="仿宋_GB2312" w:hint="eastAsia"/>
        </w:rPr>
        <w:t>做强服务贸易主体。完善《杭州服务贸易示范企业、成长型企业认定管理办法》相关标准，落实专人联系制度，加快培育服务贸易龙头企业。通过金融等手段进一步强化对行业内中小企业支持，引导中小企业融入全球价值链，加快培育专精特新的中小型服务贸易企业。积极培育本土民营服</w:t>
      </w:r>
      <w:r>
        <w:rPr>
          <w:rFonts w:ascii="仿宋_GB2312" w:hAnsi="仿宋_GB2312" w:hint="eastAsia"/>
        </w:rPr>
        <w:t>务供应商，支持研发设计等生产性服务企业发展。</w:t>
      </w:r>
    </w:p>
    <w:p w:rsidR="00CD2EF2" w:rsidRDefault="003F5178">
      <w:pPr>
        <w:snapToGrid w:val="0"/>
        <w:spacing w:line="336" w:lineRule="auto"/>
        <w:ind w:firstLine="640"/>
      </w:pPr>
      <w:r>
        <w:rPr>
          <w:rFonts w:ascii="仿宋_GB2312" w:hAnsi="仿宋_GB2312" w:hint="eastAsia"/>
        </w:rPr>
        <w:lastRenderedPageBreak/>
        <w:t>5.</w:t>
      </w:r>
      <w:r>
        <w:rPr>
          <w:rFonts w:ascii="仿宋_GB2312" w:hAnsi="仿宋_GB2312" w:hint="eastAsia"/>
        </w:rPr>
        <w:t>打响“杭州服务”品牌。推动数字技术在电子商务、文化创意、金融服务三大优势领域的应用，树立杭州跨境电子商务国际品牌、数字文化服务品牌和数字金融服务品牌。积极运用新技术、新模式、新业态，拓宽杭州服务品牌宣传渠道。加强政府组织宣传方式，通过大型会展、官方活动增强杭州的国际影响力。依托龙头企业海外市场营销网络，应用流媒体等新模式，加大“杭州服务”品牌宣传力度。</w:t>
      </w:r>
    </w:p>
    <w:p w:rsidR="00CD2EF2" w:rsidRDefault="00CD2EF2" w:rsidP="00BA1400">
      <w:pPr>
        <w:pStyle w:val="a1"/>
        <w:snapToGrid w:val="0"/>
        <w:ind w:firstLine="186"/>
        <w:rPr>
          <w:sz w:val="18"/>
        </w:rPr>
      </w:pPr>
      <w:bookmarkStart w:id="207" w:name="_Toc12021"/>
      <w:bookmarkStart w:id="208" w:name="_Toc14930"/>
      <w:bookmarkStart w:id="209" w:name="_Toc3747"/>
      <w:bookmarkStart w:id="210" w:name="_Toc3042"/>
      <w:bookmarkStart w:id="211" w:name="_Toc32204"/>
      <w:bookmarkStart w:id="212" w:name="_Toc17129"/>
      <w:bookmarkStart w:id="213" w:name="_Toc20719"/>
      <w:bookmarkStart w:id="214" w:name="_Toc22131"/>
      <w:bookmarkStart w:id="215" w:name="_Toc12744"/>
      <w:bookmarkStart w:id="216" w:name="_Toc7613"/>
      <w:bookmarkStart w:id="217" w:name="_Toc20225"/>
    </w:p>
    <w:tbl>
      <w:tblPr>
        <w:tblW w:w="8844"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388"/>
        <w:gridCol w:w="6188"/>
      </w:tblGrid>
      <w:tr w:rsidR="00CD2EF2">
        <w:trPr>
          <w:trHeight w:val="680"/>
          <w:jc w:val="center"/>
        </w:trPr>
        <w:tc>
          <w:tcPr>
            <w:tcW w:w="88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center"/>
              <w:rPr>
                <w:b/>
                <w:sz w:val="28"/>
                <w:szCs w:val="28"/>
              </w:rPr>
            </w:pPr>
            <w:r>
              <w:rPr>
                <w:rFonts w:ascii="黑体" w:eastAsia="黑体" w:hAnsi="黑体" w:hint="eastAsia"/>
                <w:sz w:val="28"/>
                <w:szCs w:val="28"/>
              </w:rPr>
              <w:t>专栏</w:t>
            </w:r>
            <w:r>
              <w:rPr>
                <w:rFonts w:ascii="黑体" w:eastAsia="黑体" w:hAnsi="黑体" w:hint="eastAsia"/>
                <w:sz w:val="28"/>
                <w:szCs w:val="28"/>
              </w:rPr>
              <w:t xml:space="preserve">8  </w:t>
            </w:r>
            <w:r>
              <w:rPr>
                <w:rFonts w:ascii="黑体" w:eastAsia="黑体" w:hAnsi="黑体" w:hint="eastAsia"/>
                <w:sz w:val="28"/>
                <w:szCs w:val="28"/>
              </w:rPr>
              <w:t>“十四五”</w:t>
            </w:r>
            <w:r>
              <w:rPr>
                <w:rFonts w:ascii="黑体" w:eastAsia="黑体" w:hAnsi="黑体" w:hint="eastAsia"/>
                <w:sz w:val="28"/>
                <w:szCs w:val="28"/>
              </w:rPr>
              <w:t>时</w:t>
            </w:r>
            <w:r>
              <w:rPr>
                <w:rFonts w:ascii="黑体" w:eastAsia="黑体" w:hAnsi="黑体" w:hint="eastAsia"/>
                <w:sz w:val="28"/>
                <w:szCs w:val="28"/>
              </w:rPr>
              <w:t>期杭州服务贸易发展重点领域</w:t>
            </w:r>
          </w:p>
        </w:tc>
      </w:tr>
      <w:tr w:rsidR="00CD2EF2">
        <w:trPr>
          <w:trHeight w:val="567"/>
          <w:jc w:val="center"/>
        </w:trPr>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88" w:lineRule="auto"/>
              <w:jc w:val="center"/>
              <w:rPr>
                <w:rFonts w:ascii="黑体" w:eastAsia="黑体" w:hAnsi="黑体"/>
                <w:sz w:val="24"/>
              </w:rPr>
            </w:pPr>
            <w:r>
              <w:rPr>
                <w:rFonts w:ascii="黑体" w:eastAsia="黑体" w:hAnsi="黑体" w:hint="eastAsia"/>
                <w:sz w:val="24"/>
              </w:rPr>
              <w:t>类别</w:t>
            </w:r>
          </w:p>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88" w:lineRule="auto"/>
              <w:jc w:val="center"/>
              <w:rPr>
                <w:rFonts w:ascii="黑体" w:eastAsia="黑体" w:hAnsi="黑体"/>
                <w:sz w:val="24"/>
              </w:rPr>
            </w:pPr>
            <w:r>
              <w:rPr>
                <w:rFonts w:ascii="黑体" w:eastAsia="黑体" w:hAnsi="黑体" w:hint="eastAsia"/>
                <w:sz w:val="24"/>
              </w:rPr>
              <w:t>具体领域</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widowControl/>
              <w:adjustRightInd w:val="0"/>
              <w:snapToGrid w:val="0"/>
              <w:spacing w:line="288" w:lineRule="auto"/>
              <w:jc w:val="center"/>
              <w:rPr>
                <w:rFonts w:ascii="黑体" w:eastAsia="黑体" w:hAnsi="黑体"/>
                <w:sz w:val="24"/>
              </w:rPr>
            </w:pPr>
            <w:r>
              <w:rPr>
                <w:rFonts w:ascii="黑体" w:eastAsia="黑体" w:hAnsi="黑体" w:hint="eastAsia"/>
                <w:sz w:val="24"/>
              </w:rPr>
              <w:t>主</w:t>
            </w:r>
            <w:r>
              <w:rPr>
                <w:rFonts w:ascii="黑体" w:eastAsia="黑体" w:hAnsi="黑体" w:hint="eastAsia"/>
                <w:sz w:val="24"/>
              </w:rPr>
              <w:t xml:space="preserve"> </w:t>
            </w:r>
            <w:r>
              <w:rPr>
                <w:rFonts w:ascii="黑体" w:eastAsia="黑体" w:hAnsi="黑体" w:hint="eastAsia"/>
                <w:sz w:val="24"/>
              </w:rPr>
              <w:t>要</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r>
      <w:tr w:rsidR="00CD2EF2">
        <w:trPr>
          <w:trHeight w:val="1273"/>
          <w:jc w:val="center"/>
        </w:trPr>
        <w:tc>
          <w:tcPr>
            <w:tcW w:w="1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jc w:val="center"/>
              <w:rPr>
                <w:spacing w:val="-6"/>
                <w:sz w:val="24"/>
              </w:rPr>
            </w:pPr>
            <w:r>
              <w:rPr>
                <w:rFonts w:hint="eastAsia"/>
                <w:spacing w:val="-6"/>
                <w:sz w:val="24"/>
              </w:rPr>
              <w:t>优势领域</w:t>
            </w:r>
          </w:p>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CD2EF2">
            <w:pPr>
              <w:pStyle w:val="3"/>
              <w:keepNext w:val="0"/>
              <w:keepLines w:val="0"/>
              <w:adjustRightInd w:val="0"/>
              <w:snapToGrid w:val="0"/>
              <w:spacing w:before="0" w:after="0" w:line="288" w:lineRule="auto"/>
              <w:ind w:leftChars="0" w:left="0"/>
              <w:jc w:val="center"/>
              <w:rPr>
                <w:rFonts w:eastAsia="仿宋_GB2312"/>
                <w:b w:val="0"/>
                <w:spacing w:val="-6"/>
                <w:sz w:val="28"/>
              </w:rPr>
            </w:pPr>
          </w:p>
          <w:p w:rsidR="00CD2EF2" w:rsidRDefault="003F5178">
            <w:pPr>
              <w:pStyle w:val="3"/>
              <w:keepNext w:val="0"/>
              <w:keepLines w:val="0"/>
              <w:adjustRightInd w:val="0"/>
              <w:snapToGrid w:val="0"/>
              <w:spacing w:before="0" w:after="0" w:line="288" w:lineRule="auto"/>
              <w:ind w:leftChars="0" w:left="0"/>
              <w:jc w:val="center"/>
              <w:rPr>
                <w:rFonts w:eastAsia="仿宋_GB2312"/>
                <w:b w:val="0"/>
                <w:spacing w:val="-6"/>
                <w:sz w:val="24"/>
              </w:rPr>
            </w:pPr>
            <w:r>
              <w:rPr>
                <w:rFonts w:eastAsia="仿宋_GB2312" w:hint="eastAsia"/>
                <w:b w:val="0"/>
                <w:spacing w:val="-6"/>
                <w:sz w:val="24"/>
              </w:rPr>
              <w:t>服务外包</w:t>
            </w:r>
          </w:p>
          <w:p w:rsidR="00CD2EF2" w:rsidRDefault="00CD2EF2">
            <w:pPr>
              <w:rPr>
                <w:sz w:val="24"/>
              </w:rPr>
            </w:pP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sz w:val="24"/>
              </w:rPr>
            </w:pPr>
            <w:r>
              <w:rPr>
                <w:rFonts w:hint="eastAsia"/>
                <w:sz w:val="24"/>
              </w:rPr>
              <w:t>持续优化服务外包产业发展空间格局。加快推进服务外包转型升级。加强多方联动机制等合作，积极探索创新合作模式，将服务外包纳入长三角国际贸易“单一窗口”。</w:t>
            </w:r>
          </w:p>
        </w:tc>
      </w:tr>
      <w:tr w:rsidR="00CD2EF2">
        <w:trPr>
          <w:trHeight w:val="1471"/>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jc w:val="center"/>
              <w:rPr>
                <w:spacing w:val="-6"/>
                <w:sz w:val="24"/>
              </w:rPr>
            </w:pPr>
            <w:r>
              <w:rPr>
                <w:rFonts w:hint="eastAsia"/>
                <w:spacing w:val="-6"/>
                <w:sz w:val="24"/>
              </w:rPr>
              <w:t>文化贸易</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rPr>
                <w:spacing w:val="-6"/>
                <w:sz w:val="24"/>
              </w:rPr>
            </w:pPr>
            <w:r>
              <w:rPr>
                <w:rFonts w:hint="eastAsia"/>
                <w:spacing w:val="-6"/>
                <w:sz w:val="24"/>
              </w:rPr>
              <w:t>依托国家文化出口基地建设，进一步加快文化服务贸易发展，继续扩大对外文化贸易规模，推动文化贸易结构优化升级。重点发展数字娱乐、数字传媒、网络文学、动漫游戏、创意设计等数字文化贸易服务。</w:t>
            </w:r>
          </w:p>
        </w:tc>
      </w:tr>
      <w:tr w:rsidR="00CD2EF2">
        <w:trPr>
          <w:trHeight w:val="1289"/>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jc w:val="center"/>
              <w:rPr>
                <w:spacing w:val="-6"/>
                <w:sz w:val="24"/>
              </w:rPr>
            </w:pPr>
            <w:r>
              <w:rPr>
                <w:rFonts w:hint="eastAsia"/>
                <w:spacing w:val="-6"/>
                <w:sz w:val="24"/>
              </w:rPr>
              <w:t>旅游服务</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sz w:val="24"/>
              </w:rPr>
            </w:pPr>
            <w:r>
              <w:rPr>
                <w:rFonts w:hint="eastAsia"/>
                <w:sz w:val="24"/>
              </w:rPr>
              <w:t>以观光旅游、休闲度假、文化体验为重点，大力发展旅游服务贸易，持续推进旅游国际化战略，着力打造具有杭州特色的国际化旅游产品，精准有序开展旅游国际营销。</w:t>
            </w:r>
          </w:p>
        </w:tc>
      </w:tr>
      <w:tr w:rsidR="00CD2EF2">
        <w:trPr>
          <w:trHeight w:val="1225"/>
          <w:jc w:val="center"/>
        </w:trPr>
        <w:tc>
          <w:tcPr>
            <w:tcW w:w="1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jc w:val="center"/>
              <w:rPr>
                <w:spacing w:val="-6"/>
                <w:sz w:val="24"/>
              </w:rPr>
            </w:pPr>
            <w:r>
              <w:rPr>
                <w:rFonts w:hint="eastAsia"/>
                <w:spacing w:val="-6"/>
                <w:sz w:val="24"/>
              </w:rPr>
              <w:t>重点领域</w:t>
            </w:r>
          </w:p>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jc w:val="center"/>
              <w:rPr>
                <w:spacing w:val="-6"/>
                <w:sz w:val="24"/>
              </w:rPr>
            </w:pPr>
            <w:r>
              <w:rPr>
                <w:rFonts w:hint="eastAsia"/>
                <w:spacing w:val="-6"/>
                <w:sz w:val="24"/>
              </w:rPr>
              <w:t>金融服务</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rPr>
                <w:spacing w:val="-6"/>
                <w:sz w:val="24"/>
              </w:rPr>
            </w:pPr>
            <w:r>
              <w:rPr>
                <w:rFonts w:hint="eastAsia"/>
                <w:spacing w:val="-6"/>
                <w:sz w:val="24"/>
              </w:rPr>
              <w:t>大力发展数字金融，加快数字技术在金融领域的创新融合应用，打造国际金融科技中心。创新跨境金融服务。进一步深化金融领域对外开放。</w:t>
            </w:r>
          </w:p>
        </w:tc>
      </w:tr>
      <w:tr w:rsidR="00CD2EF2">
        <w:trPr>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center"/>
              <w:rPr>
                <w:sz w:val="24"/>
              </w:rPr>
            </w:pPr>
            <w:r>
              <w:rPr>
                <w:rFonts w:hint="eastAsia"/>
                <w:sz w:val="24"/>
              </w:rPr>
              <w:t>会展服务</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rPr>
                <w:spacing w:val="-6"/>
                <w:sz w:val="24"/>
              </w:rPr>
            </w:pPr>
            <w:r>
              <w:rPr>
                <w:rFonts w:hint="eastAsia"/>
                <w:spacing w:val="-6"/>
                <w:sz w:val="24"/>
              </w:rPr>
              <w:t>提升中国国际服务外包交易博览会、中国国际</w:t>
            </w:r>
            <w:proofErr w:type="gramStart"/>
            <w:r>
              <w:rPr>
                <w:rFonts w:hint="eastAsia"/>
                <w:spacing w:val="-6"/>
                <w:sz w:val="24"/>
              </w:rPr>
              <w:t>动漫节</w:t>
            </w:r>
            <w:proofErr w:type="gramEnd"/>
            <w:r>
              <w:rPr>
                <w:rFonts w:hint="eastAsia"/>
                <w:spacing w:val="-6"/>
                <w:sz w:val="24"/>
              </w:rPr>
              <w:t>、杭州文博会等重点展会平台国际化水平，加大法国戛纳电视节中国（杭州）国际影视内容高峰论坛</w:t>
            </w:r>
            <w:r>
              <w:rPr>
                <w:rFonts w:ascii="仿宋_GB2312" w:hAnsi="仿宋_GB2312" w:cs="仿宋_GB2312" w:hint="eastAsia"/>
                <w:spacing w:val="-6"/>
                <w:sz w:val="24"/>
              </w:rPr>
              <w:t>（</w:t>
            </w:r>
            <w:r>
              <w:rPr>
                <w:rFonts w:ascii="仿宋_GB2312" w:hAnsi="仿宋_GB2312" w:cs="仿宋_GB2312" w:hint="eastAsia"/>
                <w:spacing w:val="-6"/>
                <w:sz w:val="24"/>
              </w:rPr>
              <w:t>MIP China</w:t>
            </w:r>
            <w:r>
              <w:rPr>
                <w:rFonts w:ascii="仿宋_GB2312" w:hAnsi="仿宋_GB2312" w:cs="仿宋_GB2312" w:hint="eastAsia"/>
                <w:spacing w:val="-6"/>
                <w:sz w:val="24"/>
              </w:rPr>
              <w:t>）</w:t>
            </w:r>
            <w:r>
              <w:rPr>
                <w:rFonts w:hint="eastAsia"/>
                <w:spacing w:val="-6"/>
                <w:sz w:val="24"/>
              </w:rPr>
              <w:t>、杭州国际</w:t>
            </w:r>
            <w:proofErr w:type="gramStart"/>
            <w:r>
              <w:rPr>
                <w:rFonts w:hint="eastAsia"/>
                <w:spacing w:val="-6"/>
                <w:sz w:val="24"/>
              </w:rPr>
              <w:t>工艺周</w:t>
            </w:r>
            <w:proofErr w:type="gramEnd"/>
            <w:r>
              <w:rPr>
                <w:rFonts w:hint="eastAsia"/>
                <w:spacing w:val="-6"/>
                <w:sz w:val="24"/>
              </w:rPr>
              <w:t>等新兴国际展会交易平台的培育力度。</w:t>
            </w:r>
          </w:p>
        </w:tc>
      </w:tr>
      <w:tr w:rsidR="00CD2EF2">
        <w:trPr>
          <w:trHeight w:val="828"/>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jc w:val="center"/>
              <w:rPr>
                <w:spacing w:val="-6"/>
                <w:sz w:val="24"/>
              </w:rPr>
            </w:pPr>
            <w:r>
              <w:rPr>
                <w:rFonts w:hint="eastAsia"/>
                <w:spacing w:val="-6"/>
                <w:sz w:val="24"/>
              </w:rPr>
              <w:t>教育服务</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rPr>
                <w:sz w:val="24"/>
              </w:rPr>
            </w:pPr>
            <w:r>
              <w:rPr>
                <w:rFonts w:hint="eastAsia"/>
                <w:sz w:val="24"/>
              </w:rPr>
              <w:t>实施“留学杭州”计划，推动教育服务出口。大力推动海外教育服务贸易。拓展教育服务贸易发展空间。</w:t>
            </w:r>
          </w:p>
        </w:tc>
      </w:tr>
      <w:tr w:rsidR="00CD2EF2">
        <w:trPr>
          <w:trHeight w:val="828"/>
          <w:jc w:val="center"/>
        </w:trPr>
        <w:tc>
          <w:tcPr>
            <w:tcW w:w="1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center"/>
              <w:rPr>
                <w:sz w:val="24"/>
              </w:rPr>
            </w:pPr>
            <w:r>
              <w:rPr>
                <w:rFonts w:hint="eastAsia"/>
                <w:sz w:val="24"/>
              </w:rPr>
              <w:t>潜力领域</w:t>
            </w:r>
          </w:p>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center"/>
              <w:rPr>
                <w:sz w:val="24"/>
              </w:rPr>
            </w:pPr>
            <w:r>
              <w:rPr>
                <w:rFonts w:hint="eastAsia"/>
                <w:sz w:val="24"/>
              </w:rPr>
              <w:t>医疗健康</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rPr>
                <w:spacing w:val="-6"/>
                <w:sz w:val="24"/>
              </w:rPr>
            </w:pPr>
            <w:r>
              <w:rPr>
                <w:rFonts w:hint="eastAsia"/>
                <w:spacing w:val="-6"/>
                <w:sz w:val="24"/>
              </w:rPr>
              <w:t>大力发展国际医疗旅游和高端医疗服务。大力发展生物医药研发服务贸易</w:t>
            </w:r>
            <w:r>
              <w:rPr>
                <w:rFonts w:hint="eastAsia"/>
                <w:spacing w:val="-6"/>
                <w:sz w:val="24"/>
              </w:rPr>
              <w:t>，</w:t>
            </w:r>
            <w:r>
              <w:rPr>
                <w:rFonts w:hint="eastAsia"/>
                <w:spacing w:val="-6"/>
                <w:sz w:val="24"/>
              </w:rPr>
              <w:t>进一步促进中医药服务贸易发展。</w:t>
            </w:r>
          </w:p>
        </w:tc>
      </w:tr>
      <w:tr w:rsidR="00CD2EF2">
        <w:trPr>
          <w:trHeight w:val="1567"/>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center"/>
              <w:rPr>
                <w:sz w:val="24"/>
              </w:rPr>
            </w:pPr>
            <w:r>
              <w:rPr>
                <w:rFonts w:hint="eastAsia"/>
                <w:sz w:val="24"/>
              </w:rPr>
              <w:t>物流运输</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rPr>
                <w:spacing w:val="-6"/>
                <w:sz w:val="24"/>
              </w:rPr>
            </w:pPr>
            <w:r>
              <w:rPr>
                <w:rFonts w:hint="eastAsia"/>
                <w:spacing w:val="-6"/>
                <w:sz w:val="24"/>
              </w:rPr>
              <w:t>重点建设东洲内河国际港、萧山国际机场的航空枢纽两大跨境物流运输服务集聚区。推进物流园区公共信息平台建设，加强智慧物流建设，提升物流信息化水平。推动区域性国际物流中心建设。</w:t>
            </w:r>
          </w:p>
        </w:tc>
      </w:tr>
      <w:tr w:rsidR="00CD2EF2">
        <w:trPr>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CD2EF2" w:rsidRDefault="00CD2EF2"/>
        </w:tc>
        <w:tc>
          <w:tcPr>
            <w:tcW w:w="1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spacing w:line="288" w:lineRule="auto"/>
              <w:jc w:val="center"/>
              <w:rPr>
                <w:sz w:val="24"/>
              </w:rPr>
            </w:pPr>
            <w:r>
              <w:rPr>
                <w:rFonts w:hint="eastAsia"/>
                <w:sz w:val="24"/>
              </w:rPr>
              <w:t>知识产权</w:t>
            </w:r>
          </w:p>
        </w:tc>
        <w:tc>
          <w:tcPr>
            <w:tcW w:w="6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pStyle w:val="20"/>
              <w:spacing w:line="288" w:lineRule="auto"/>
              <w:ind w:firstLineChars="0" w:firstLine="0"/>
              <w:rPr>
                <w:spacing w:val="-6"/>
                <w:sz w:val="24"/>
              </w:rPr>
            </w:pPr>
            <w:r>
              <w:rPr>
                <w:rFonts w:hint="eastAsia"/>
                <w:spacing w:val="-6"/>
                <w:sz w:val="24"/>
              </w:rPr>
              <w:t>放宽知识产权服务业外资准入。依托知识产权运营公共服务平台，建设知识产权服务贸易集聚区。推动知识产权运营交易，开展知识产权质押</w:t>
            </w:r>
            <w:proofErr w:type="gramStart"/>
            <w:r>
              <w:rPr>
                <w:rFonts w:hint="eastAsia"/>
                <w:spacing w:val="-6"/>
                <w:sz w:val="24"/>
              </w:rPr>
              <w:t>融资投联贷</w:t>
            </w:r>
            <w:proofErr w:type="gramEnd"/>
            <w:r>
              <w:rPr>
                <w:rFonts w:hint="eastAsia"/>
                <w:spacing w:val="-6"/>
                <w:sz w:val="24"/>
              </w:rPr>
              <w:t>业务。加大知识产权国际化人才引育。</w:t>
            </w:r>
          </w:p>
        </w:tc>
      </w:tr>
    </w:tbl>
    <w:p w:rsidR="00CD2EF2" w:rsidRDefault="003F5178" w:rsidP="00BA1400">
      <w:pPr>
        <w:adjustRightInd w:val="0"/>
        <w:snapToGrid w:val="0"/>
        <w:spacing w:beforeLines="50" w:before="295" w:line="336" w:lineRule="auto"/>
        <w:ind w:firstLineChars="200" w:firstLine="628"/>
        <w:outlineLvl w:val="1"/>
        <w:rPr>
          <w:rFonts w:eastAsia="楷体_GB2312"/>
          <w:shd w:val="clear" w:color="auto" w:fill="FFFF00"/>
        </w:rPr>
      </w:pPr>
      <w:r>
        <w:rPr>
          <w:rFonts w:eastAsia="楷体_GB2312" w:hint="eastAsia"/>
        </w:rPr>
        <w:t>（八）有序推动对外经贸合作，提升企业跨国经营能力</w:t>
      </w:r>
      <w:bookmarkEnd w:id="207"/>
      <w:bookmarkEnd w:id="208"/>
      <w:bookmarkEnd w:id="209"/>
      <w:bookmarkEnd w:id="210"/>
      <w:bookmarkEnd w:id="211"/>
      <w:bookmarkEnd w:id="212"/>
      <w:bookmarkEnd w:id="213"/>
      <w:bookmarkEnd w:id="214"/>
      <w:bookmarkEnd w:id="215"/>
      <w:bookmarkEnd w:id="216"/>
      <w:bookmarkEnd w:id="217"/>
      <w:r>
        <w:rPr>
          <w:rFonts w:eastAsia="楷体_GB2312" w:hint="eastAsia"/>
        </w:rPr>
        <w:t>。</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培育具有竞争力的跨国企业。发挥民营企业率先“走出去”的优势，支持企业加强海外并购重组，拓宽技术、品牌、人才、销售网络等渠道，培育具有全球资源配置能力的跨国公司。引导本土企业加快创新链、产业链、价值链全球化布局，同时引导企业将高端产业环节回归杭州，打造具有国际竞争力的本土民营跨国公司。鼓励企业开发海外战略资源，加快推动优势产能高水平海外布局，推动国际产能合作。积极借助杭州本土企业在海外重点项目建设，鼓励采购杭州本土产品，带动杭州出口有效增长。</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推进国际营销体系建设。鼓励企业以合作、自建等方式，完善营销</w:t>
      </w:r>
      <w:r>
        <w:rPr>
          <w:rFonts w:ascii="仿宋_GB2312" w:hAnsi="仿宋_GB2312" w:hint="eastAsia"/>
        </w:rPr>
        <w:t>和服务保障体系，开展仓储、展示、批发、销售、接单签约及售后服务。推进</w:t>
      </w:r>
      <w:proofErr w:type="gramStart"/>
      <w:r>
        <w:rPr>
          <w:rFonts w:ascii="仿宋_GB2312" w:hAnsi="仿宋_GB2312" w:hint="eastAsia"/>
        </w:rPr>
        <w:t>售后云服务</w:t>
      </w:r>
      <w:proofErr w:type="gramEnd"/>
      <w:r>
        <w:rPr>
          <w:rFonts w:ascii="仿宋_GB2312" w:hAnsi="仿宋_GB2312" w:hint="eastAsia"/>
        </w:rPr>
        <w:t>模式和远端诊断、维修。重点推动数字安防、物联网设备等行业品牌企业建设国际营销服务网</w:t>
      </w:r>
      <w:r>
        <w:rPr>
          <w:rFonts w:ascii="仿宋_GB2312" w:hAnsi="仿宋_GB2312" w:hint="eastAsia"/>
        </w:rPr>
        <w:lastRenderedPageBreak/>
        <w:t>点。探索建立国际营销公共平台，充分发挥平台带动和示范作用，助力企业开拓国际市场。研究建立平台企业评估及退出机制。建设国际营销公共服务平台网络，共享平台资源。</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推动优势产业“走出去”有序布局。加快境外投资从过去以目标市场为导向的布点式投资向行业发展为导向的全球布局性投资转变，扩大占据全球产业高端、掌</w:t>
      </w:r>
      <w:proofErr w:type="gramStart"/>
      <w:r>
        <w:rPr>
          <w:rFonts w:ascii="仿宋_GB2312" w:hAnsi="仿宋_GB2312" w:hint="eastAsia"/>
        </w:rPr>
        <w:t>控资源</w:t>
      </w:r>
      <w:proofErr w:type="gramEnd"/>
      <w:r>
        <w:rPr>
          <w:rFonts w:ascii="仿宋_GB2312" w:hAnsi="仿宋_GB2312" w:hint="eastAsia"/>
        </w:rPr>
        <w:t>要素的主动、先导型投资。统筹杭州市产业发展规</w:t>
      </w:r>
      <w:r>
        <w:rPr>
          <w:rFonts w:ascii="仿宋_GB2312" w:hAnsi="仿宋_GB2312" w:hint="eastAsia"/>
        </w:rPr>
        <w:t>划和商务部发布的国别地区指引，着力推动有实力、有条件的电子信息、机械装备、生物制药等行业企业加快境外产业合作，在高端制造业和研发集聚地设立境外研发机构，积极稳妥开展境外品牌、技术及营销网络、生产线等并购，促进市内制造业改造和战略性新兴产业培育。鼓励文化创意以及商贸流通、仓储配送、电子商务等生产性服务业企业实施“走出去”战略，率先在海外布局。</w:t>
      </w:r>
    </w:p>
    <w:p w:rsidR="00CD2EF2" w:rsidRDefault="003F5178" w:rsidP="00BA1400">
      <w:pPr>
        <w:adjustRightInd w:val="0"/>
        <w:snapToGrid w:val="0"/>
        <w:spacing w:line="336" w:lineRule="auto"/>
        <w:ind w:firstLineChars="200" w:firstLine="628"/>
      </w:pPr>
      <w:r>
        <w:rPr>
          <w:rFonts w:ascii="仿宋_GB2312" w:hAnsi="仿宋_GB2312" w:hint="eastAsia"/>
        </w:rPr>
        <w:t>4.</w:t>
      </w:r>
      <w:r>
        <w:rPr>
          <w:rFonts w:ascii="仿宋_GB2312" w:hAnsi="仿宋_GB2312" w:hint="eastAsia"/>
        </w:rPr>
        <w:t>提升外经平台建设能级和服务水平。推广泰国罗勇、墨西哥华富山、杭州美国硅谷孵化器等平台建设的经验，持续提升境外经贸合作区建设水平，打造更多国家级、省级境外经贸合作区。</w:t>
      </w:r>
      <w:r>
        <w:rPr>
          <w:rFonts w:ascii="仿宋_GB2312" w:hAnsi="仿宋_GB2312" w:hint="eastAsia"/>
        </w:rPr>
        <w:t>以“一带一路”沿线国家主要节点城市和港口为重点，建设国际产业合作园，引导中小企业海外抱团发展、集群发展。加强“走出去”风险预警和应急援助，不断健全对外投资服务体系，加强风险预警，提高企业海外防范风险能力，维护海外企业的合法权益。</w:t>
      </w:r>
    </w:p>
    <w:p w:rsidR="00CD2EF2" w:rsidRDefault="003F5178" w:rsidP="00BA1400">
      <w:pPr>
        <w:adjustRightInd w:val="0"/>
        <w:snapToGrid w:val="0"/>
        <w:spacing w:line="336" w:lineRule="auto"/>
        <w:ind w:firstLineChars="200" w:firstLine="628"/>
        <w:outlineLvl w:val="1"/>
        <w:rPr>
          <w:rFonts w:eastAsia="楷体_GB2312"/>
        </w:rPr>
      </w:pPr>
      <w:bookmarkStart w:id="218" w:name="_Toc13785"/>
      <w:bookmarkStart w:id="219" w:name="_Toc18920"/>
      <w:bookmarkStart w:id="220" w:name="_Toc24626"/>
      <w:bookmarkStart w:id="221" w:name="_Toc22419"/>
      <w:bookmarkStart w:id="222" w:name="_Toc29640"/>
      <w:bookmarkStart w:id="223" w:name="_Toc10132"/>
      <w:bookmarkStart w:id="224" w:name="_Toc29558"/>
      <w:bookmarkStart w:id="225" w:name="_Toc30330"/>
      <w:bookmarkStart w:id="226" w:name="_Toc4190"/>
      <w:bookmarkStart w:id="227" w:name="_Toc19979"/>
      <w:bookmarkStart w:id="228" w:name="_Toc29370"/>
      <w:r>
        <w:rPr>
          <w:rFonts w:eastAsia="楷体_GB2312" w:hint="eastAsia"/>
        </w:rPr>
        <w:t>（九）提升电子商务新型业态，建设国际电子商务中心</w:t>
      </w:r>
      <w:bookmarkEnd w:id="218"/>
      <w:bookmarkEnd w:id="219"/>
      <w:bookmarkEnd w:id="220"/>
      <w:bookmarkEnd w:id="221"/>
      <w:bookmarkEnd w:id="222"/>
      <w:bookmarkEnd w:id="223"/>
      <w:bookmarkEnd w:id="224"/>
      <w:bookmarkEnd w:id="225"/>
      <w:bookmarkEnd w:id="226"/>
      <w:bookmarkEnd w:id="227"/>
      <w:bookmarkEnd w:id="228"/>
      <w:r>
        <w:rPr>
          <w:rFonts w:eastAsia="楷体_GB2312" w:hint="eastAsia"/>
        </w:rPr>
        <w:t>。</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lastRenderedPageBreak/>
        <w:t>1.</w:t>
      </w:r>
      <w:r>
        <w:rPr>
          <w:rFonts w:ascii="仿宋_GB2312" w:hAnsi="仿宋_GB2312" w:hint="eastAsia"/>
        </w:rPr>
        <w:t>支持电商平台经济体建设。依托消费品、软件等</w:t>
      </w:r>
      <w:proofErr w:type="gramStart"/>
      <w:r>
        <w:rPr>
          <w:rFonts w:ascii="仿宋_GB2312" w:hAnsi="仿宋_GB2312" w:hint="eastAsia"/>
        </w:rPr>
        <w:t>领域电</w:t>
      </w:r>
      <w:proofErr w:type="gramEnd"/>
      <w:r>
        <w:rPr>
          <w:rFonts w:ascii="仿宋_GB2312" w:hAnsi="仿宋_GB2312" w:hint="eastAsia"/>
        </w:rPr>
        <w:t>商优势，培育专注于垂直细分领域、产品个性化突出、附加值高的电子商务平台。重点支持跨境海淘、社交网络、医疗健康、生活服务、生鲜食品、移动电商、共享经济、物流货运等领域垂直电商平台的</w:t>
      </w:r>
      <w:r>
        <w:rPr>
          <w:rFonts w:ascii="仿宋_GB2312" w:hAnsi="仿宋_GB2312" w:hint="eastAsia"/>
        </w:rPr>
        <w:t>发展，着力培育国际化独角兽企业。深化电商扶贫“杭州实践”，进一步推进青海扶贫协作电</w:t>
      </w:r>
      <w:proofErr w:type="gramStart"/>
      <w:r>
        <w:rPr>
          <w:rFonts w:ascii="仿宋_GB2312" w:hAnsi="仿宋_GB2312" w:hint="eastAsia"/>
        </w:rPr>
        <w:t>商消费</w:t>
      </w:r>
      <w:proofErr w:type="gramEnd"/>
      <w:r>
        <w:rPr>
          <w:rFonts w:ascii="仿宋_GB2312" w:hAnsi="仿宋_GB2312" w:hint="eastAsia"/>
        </w:rPr>
        <w:t>扶贫项目实施，通过优</w:t>
      </w:r>
      <w:proofErr w:type="gramStart"/>
      <w:r>
        <w:rPr>
          <w:rFonts w:ascii="仿宋_GB2312" w:hAnsi="仿宋_GB2312" w:hint="eastAsia"/>
        </w:rPr>
        <w:t>特</w:t>
      </w:r>
      <w:proofErr w:type="gramEnd"/>
      <w:r>
        <w:rPr>
          <w:rFonts w:ascii="仿宋_GB2312" w:hAnsi="仿宋_GB2312" w:hint="eastAsia"/>
        </w:rPr>
        <w:t>农产品出山对接、电商扶贫人才培训、“网上农博”平台，帮扶贫困地区相关产业发展，巩固脱贫攻坚成果。</w:t>
      </w:r>
    </w:p>
    <w:p w:rsidR="00CD2EF2" w:rsidRDefault="003F5178" w:rsidP="00BA1400">
      <w:pPr>
        <w:pStyle w:val="20"/>
        <w:spacing w:line="336" w:lineRule="auto"/>
        <w:ind w:firstLine="628"/>
        <w:rPr>
          <w:rFonts w:ascii="仿宋_GB2312" w:hAnsi="仿宋_GB2312"/>
          <w:spacing w:val="-6"/>
        </w:rPr>
      </w:pPr>
      <w:r>
        <w:rPr>
          <w:rFonts w:ascii="仿宋_GB2312" w:hAnsi="仿宋_GB2312" w:hint="eastAsia"/>
          <w:spacing w:val="-6"/>
        </w:rPr>
        <w:t>2.</w:t>
      </w:r>
      <w:r>
        <w:rPr>
          <w:rFonts w:ascii="仿宋_GB2312" w:hAnsi="仿宋_GB2312" w:hint="eastAsia"/>
          <w:spacing w:val="-6"/>
        </w:rPr>
        <w:t>推动世界电子贸易平台建设。充分发挥</w:t>
      </w:r>
      <w:proofErr w:type="spellStart"/>
      <w:r>
        <w:rPr>
          <w:rFonts w:ascii="仿宋_GB2312" w:hAnsi="仿宋_GB2312" w:hint="eastAsia"/>
          <w:spacing w:val="-6"/>
        </w:rPr>
        <w:t>eWTP</w:t>
      </w:r>
      <w:proofErr w:type="spellEnd"/>
      <w:r>
        <w:rPr>
          <w:rFonts w:ascii="仿宋_GB2312" w:hAnsi="仿宋_GB2312" w:hint="eastAsia"/>
          <w:spacing w:val="-6"/>
        </w:rPr>
        <w:t>秘书处作用，积极主导、制定电子商务新模式新业态的全球通用标准规则，加大电子商务“杭州方案”的国际输出。持续推动</w:t>
      </w:r>
      <w:proofErr w:type="spellStart"/>
      <w:r>
        <w:rPr>
          <w:rFonts w:ascii="仿宋_GB2312" w:hAnsi="仿宋_GB2312" w:hint="eastAsia"/>
          <w:spacing w:val="-6"/>
        </w:rPr>
        <w:t>eWTP</w:t>
      </w:r>
      <w:proofErr w:type="spellEnd"/>
      <w:r>
        <w:rPr>
          <w:rFonts w:ascii="仿宋_GB2312" w:hAnsi="仿宋_GB2312" w:hint="eastAsia"/>
          <w:spacing w:val="-6"/>
        </w:rPr>
        <w:t>杭州实验区升级，推进城市模式、制度和政策创新。推广</w:t>
      </w:r>
      <w:proofErr w:type="spellStart"/>
      <w:r>
        <w:rPr>
          <w:rFonts w:ascii="仿宋_GB2312" w:hAnsi="仿宋_GB2312" w:hint="eastAsia"/>
          <w:spacing w:val="-6"/>
        </w:rPr>
        <w:t>eWTP</w:t>
      </w:r>
      <w:proofErr w:type="spellEnd"/>
      <w:r>
        <w:rPr>
          <w:rFonts w:ascii="仿宋_GB2312" w:hAnsi="仿宋_GB2312" w:hint="eastAsia"/>
          <w:spacing w:val="-6"/>
        </w:rPr>
        <w:t>服务体系，大力推进</w:t>
      </w:r>
      <w:proofErr w:type="spellStart"/>
      <w:r>
        <w:rPr>
          <w:rFonts w:ascii="仿宋_GB2312" w:hAnsi="仿宋_GB2312" w:hint="eastAsia"/>
          <w:spacing w:val="-6"/>
        </w:rPr>
        <w:t>eWTP</w:t>
      </w:r>
      <w:proofErr w:type="spellEnd"/>
      <w:r>
        <w:rPr>
          <w:rFonts w:ascii="仿宋_GB2312" w:hAnsi="仿宋_GB2312" w:hint="eastAsia"/>
          <w:spacing w:val="-6"/>
        </w:rPr>
        <w:t>示范区重点项目建设，鼓励支持中小企业利用</w:t>
      </w:r>
      <w:proofErr w:type="spellStart"/>
      <w:r>
        <w:rPr>
          <w:rFonts w:ascii="仿宋_GB2312" w:hAnsi="仿宋_GB2312" w:hint="eastAsia"/>
          <w:spacing w:val="-6"/>
        </w:rPr>
        <w:t>eWTP</w:t>
      </w:r>
      <w:proofErr w:type="spellEnd"/>
      <w:r>
        <w:rPr>
          <w:rFonts w:ascii="仿宋_GB2312" w:hAnsi="仿宋_GB2312" w:hint="eastAsia"/>
          <w:spacing w:val="-6"/>
        </w:rPr>
        <w:t>海内外数字基础设施，提升境外服务能力，拓展海外市场，尤其是“一带一路”沿线市场。依托</w:t>
      </w:r>
      <w:proofErr w:type="spellStart"/>
      <w:r>
        <w:rPr>
          <w:rFonts w:ascii="仿宋_GB2312" w:hAnsi="仿宋_GB2312" w:hint="eastAsia"/>
          <w:spacing w:val="-6"/>
        </w:rPr>
        <w:t>eWTP</w:t>
      </w:r>
      <w:proofErr w:type="spellEnd"/>
      <w:r>
        <w:rPr>
          <w:rFonts w:ascii="仿宋_GB2312" w:hAnsi="仿宋_GB2312" w:hint="eastAsia"/>
          <w:spacing w:val="-6"/>
        </w:rPr>
        <w:t>公共服务平台，推动</w:t>
      </w:r>
      <w:proofErr w:type="spellStart"/>
      <w:r>
        <w:rPr>
          <w:rFonts w:ascii="仿宋_GB2312" w:hAnsi="仿宋_GB2312" w:hint="eastAsia"/>
          <w:spacing w:val="-6"/>
        </w:rPr>
        <w:t>eWTP</w:t>
      </w:r>
      <w:proofErr w:type="spellEnd"/>
      <w:r>
        <w:rPr>
          <w:rFonts w:ascii="仿宋_GB2312" w:hAnsi="仿宋_GB2312" w:hint="eastAsia"/>
          <w:spacing w:val="-6"/>
        </w:rPr>
        <w:t>杭州实验区与海外试点实现数字化互联互通，为中小企业和海外商家提供贸易便利化服务，提升“杭州制造”的</w:t>
      </w:r>
      <w:r>
        <w:rPr>
          <w:rFonts w:ascii="仿宋_GB2312" w:hAnsi="仿宋_GB2312" w:hint="eastAsia"/>
          <w:spacing w:val="-6"/>
        </w:rPr>
        <w:t>国际竞争力。构建跨境电商海外合作圈，扩大海外合作园区、海外合作中心、海外合作站点、海外</w:t>
      </w:r>
      <w:proofErr w:type="gramStart"/>
      <w:r>
        <w:rPr>
          <w:rFonts w:ascii="仿宋_GB2312" w:hAnsi="仿宋_GB2312" w:hint="eastAsia"/>
          <w:spacing w:val="-6"/>
        </w:rPr>
        <w:t>仓全球</w:t>
      </w:r>
      <w:proofErr w:type="gramEnd"/>
      <w:r>
        <w:rPr>
          <w:rFonts w:ascii="仿宋_GB2312" w:hAnsi="仿宋_GB2312" w:hint="eastAsia"/>
          <w:spacing w:val="-6"/>
        </w:rPr>
        <w:t>布局范围，形成中国（杭州）跨境电子商务综合试验</w:t>
      </w:r>
      <w:proofErr w:type="gramStart"/>
      <w:r>
        <w:rPr>
          <w:rFonts w:ascii="仿宋_GB2312" w:hAnsi="仿宋_GB2312" w:hint="eastAsia"/>
          <w:spacing w:val="-6"/>
        </w:rPr>
        <w:t>区海外</w:t>
      </w:r>
      <w:proofErr w:type="gramEnd"/>
      <w:r>
        <w:rPr>
          <w:rFonts w:ascii="仿宋_GB2312" w:hAnsi="仿宋_GB2312" w:hint="eastAsia"/>
          <w:spacing w:val="-6"/>
        </w:rPr>
        <w:t>智慧服务网络，为杭州企业“走出去”提供更好服务。</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提升跨境电商仓储物流能力。以打造中国（杭州）跨境电</w:t>
      </w:r>
      <w:r>
        <w:rPr>
          <w:rFonts w:ascii="仿宋_GB2312" w:hAnsi="仿宋_GB2312" w:hint="eastAsia"/>
        </w:rPr>
        <w:lastRenderedPageBreak/>
        <w:t>子商务综合试验区“升级版”为契机，强化公共海外仓布局，引导海外仓提升境外仓储配送、境外</w:t>
      </w:r>
      <w:proofErr w:type="gramStart"/>
      <w:r>
        <w:rPr>
          <w:rFonts w:ascii="仿宋_GB2312" w:hAnsi="仿宋_GB2312" w:hint="eastAsia"/>
        </w:rPr>
        <w:t>全渠道</w:t>
      </w:r>
      <w:proofErr w:type="gramEnd"/>
      <w:r>
        <w:rPr>
          <w:rFonts w:ascii="仿宋_GB2312" w:hAnsi="仿宋_GB2312" w:hint="eastAsia"/>
        </w:rPr>
        <w:t>分销、境外商务服务能力。鼓励、支持有实力的企业通过租用、独立运行、自建等方式，在美国、俄罗斯、英国、德国、澳大利亚、日本等跨境电商主要出口市场设立海外仓，搭建以海外仓为支点</w:t>
      </w:r>
      <w:r>
        <w:rPr>
          <w:rFonts w:ascii="仿宋_GB2312" w:hAnsi="仿宋_GB2312" w:hint="eastAsia"/>
        </w:rPr>
        <w:t>的目的国配送辐射网点，为跨境电商企业提供一站式的仓储配送服务。支持本土商贸物流企业“走出去”开展全球业务，通过广泛的战略联盟、协作等方式，建立跨境物流分拨配送和营销服务体系。依托大数据技术的创新应用，大力培育大型、优质物流货代企业，加强杭州国际物流货运保障，提升跨境物流效率与水平。</w:t>
      </w:r>
      <w:proofErr w:type="gramStart"/>
      <w:r>
        <w:rPr>
          <w:rFonts w:ascii="仿宋_GB2312" w:hAnsi="仿宋_GB2312" w:hint="eastAsia"/>
        </w:rPr>
        <w:t>促进长</w:t>
      </w:r>
      <w:proofErr w:type="gramEnd"/>
      <w:r>
        <w:rPr>
          <w:rFonts w:ascii="仿宋_GB2312" w:hAnsi="仿宋_GB2312" w:hint="eastAsia"/>
        </w:rPr>
        <w:t>三角跨境电商一体化，信息化联动杭州与上海物流基础设施，发挥宁波—舟山港和</w:t>
      </w:r>
      <w:proofErr w:type="gramStart"/>
      <w:r>
        <w:rPr>
          <w:rFonts w:ascii="仿宋_GB2312" w:hAnsi="仿宋_GB2312" w:hint="eastAsia"/>
        </w:rPr>
        <w:t>义新欧班</w:t>
      </w:r>
      <w:proofErr w:type="gramEnd"/>
      <w:r>
        <w:rPr>
          <w:rFonts w:ascii="仿宋_GB2312" w:hAnsi="仿宋_GB2312" w:hint="eastAsia"/>
        </w:rPr>
        <w:t>列的海陆优势，提升跨境电商物流服务，健全长三角地区智能物流网络体系。</w:t>
      </w:r>
    </w:p>
    <w:p w:rsidR="00CD2EF2" w:rsidRDefault="003F5178" w:rsidP="00BA1400">
      <w:pPr>
        <w:pStyle w:val="20"/>
        <w:spacing w:line="336" w:lineRule="auto"/>
        <w:ind w:firstLine="628"/>
        <w:rPr>
          <w:rFonts w:ascii="仿宋_GB2312" w:hAnsi="仿宋_GB2312"/>
          <w:spacing w:val="-6"/>
        </w:rPr>
      </w:pPr>
      <w:r>
        <w:rPr>
          <w:rFonts w:ascii="仿宋_GB2312" w:hAnsi="仿宋_GB2312" w:hint="eastAsia"/>
          <w:spacing w:val="-6"/>
        </w:rPr>
        <w:t>4.</w:t>
      </w:r>
      <w:r>
        <w:rPr>
          <w:rFonts w:ascii="仿宋_GB2312" w:hAnsi="仿宋_GB2312" w:hint="eastAsia"/>
          <w:spacing w:val="-6"/>
        </w:rPr>
        <w:t>优化电子商务创新载体建设。大力推进电子商务园区标准化建设，加</w:t>
      </w:r>
      <w:r>
        <w:rPr>
          <w:rFonts w:ascii="仿宋_GB2312" w:hAnsi="仿宋_GB2312" w:hint="eastAsia"/>
          <w:spacing w:val="-6"/>
        </w:rPr>
        <w:t>强</w:t>
      </w:r>
      <w:r>
        <w:rPr>
          <w:rFonts w:ascii="仿宋_GB2312" w:hAnsi="仿宋_GB2312" w:hint="eastAsia"/>
          <w:spacing w:val="-6"/>
        </w:rPr>
        <w:t>仓储管理</w:t>
      </w:r>
      <w:r>
        <w:rPr>
          <w:rFonts w:ascii="仿宋_GB2312" w:hAnsi="仿宋_GB2312" w:hint="eastAsia"/>
          <w:spacing w:val="-6"/>
        </w:rPr>
        <w:t>智能化、分拣自动化和操作标准化管理，加快推进产品标准化安全生产、产品质量安全追溯等技术的研究与推广应用。加强园区管理，探索引进第三</w:t>
      </w:r>
      <w:proofErr w:type="gramStart"/>
      <w:r>
        <w:rPr>
          <w:rFonts w:ascii="仿宋_GB2312" w:hAnsi="仿宋_GB2312" w:hint="eastAsia"/>
          <w:spacing w:val="-6"/>
        </w:rPr>
        <w:t>方专业</w:t>
      </w:r>
      <w:proofErr w:type="gramEnd"/>
      <w:r>
        <w:rPr>
          <w:rFonts w:ascii="仿宋_GB2312" w:hAnsi="仿宋_GB2312" w:hint="eastAsia"/>
          <w:spacing w:val="-6"/>
        </w:rPr>
        <w:t>运营管理公司，完善园区电子商务公共服务、仓储配送、生活配套和后勤保障机制。大力发展特色园区，强化跨境电商、新</w:t>
      </w:r>
      <w:proofErr w:type="gramStart"/>
      <w:r>
        <w:rPr>
          <w:rFonts w:ascii="仿宋_GB2312" w:hAnsi="仿宋_GB2312" w:hint="eastAsia"/>
          <w:spacing w:val="-6"/>
        </w:rPr>
        <w:t>业态电商</w:t>
      </w:r>
      <w:proofErr w:type="gramEnd"/>
      <w:r>
        <w:rPr>
          <w:rFonts w:ascii="仿宋_GB2312" w:hAnsi="仿宋_GB2312" w:hint="eastAsia"/>
          <w:spacing w:val="-6"/>
        </w:rPr>
        <w:t>、</w:t>
      </w:r>
      <w:proofErr w:type="gramStart"/>
      <w:r>
        <w:rPr>
          <w:rFonts w:ascii="仿宋_GB2312" w:hAnsi="仿宋_GB2312" w:hint="eastAsia"/>
          <w:spacing w:val="-6"/>
        </w:rPr>
        <w:t>供应链电商</w:t>
      </w:r>
      <w:proofErr w:type="gramEnd"/>
      <w:r>
        <w:rPr>
          <w:rFonts w:ascii="仿宋_GB2312" w:hAnsi="仿宋_GB2312" w:hint="eastAsia"/>
          <w:spacing w:val="-6"/>
        </w:rPr>
        <w:t>、农村电商集聚发展，重点支持</w:t>
      </w:r>
      <w:r>
        <w:rPr>
          <w:rFonts w:ascii="仿宋_GB2312" w:hAnsi="仿宋_GB2312" w:hint="eastAsia"/>
          <w:spacing w:val="-6"/>
        </w:rPr>
        <w:t>生活品牌塑造商</w:t>
      </w:r>
      <w:r>
        <w:rPr>
          <w:rFonts w:ascii="仿宋_GB2312" w:hAnsi="仿宋_GB2312" w:hint="eastAsia"/>
          <w:spacing w:val="-6"/>
        </w:rPr>
        <w:t>、社交电商、</w:t>
      </w:r>
      <w:proofErr w:type="gramStart"/>
      <w:r>
        <w:rPr>
          <w:rFonts w:ascii="仿宋_GB2312" w:hAnsi="仿宋_GB2312" w:hint="eastAsia"/>
          <w:spacing w:val="-6"/>
        </w:rPr>
        <w:t>内容电</w:t>
      </w:r>
      <w:proofErr w:type="gramEnd"/>
      <w:r>
        <w:rPr>
          <w:rFonts w:ascii="仿宋_GB2312" w:hAnsi="仿宋_GB2312" w:hint="eastAsia"/>
          <w:spacing w:val="-6"/>
        </w:rPr>
        <w:t>商等新</w:t>
      </w:r>
      <w:proofErr w:type="gramStart"/>
      <w:r>
        <w:rPr>
          <w:rFonts w:ascii="仿宋_GB2312" w:hAnsi="仿宋_GB2312" w:hint="eastAsia"/>
          <w:spacing w:val="-6"/>
        </w:rPr>
        <w:t>业态电商</w:t>
      </w:r>
      <w:proofErr w:type="gramEnd"/>
      <w:r>
        <w:rPr>
          <w:rFonts w:ascii="仿宋_GB2312" w:hAnsi="仿宋_GB2312" w:hint="eastAsia"/>
          <w:spacing w:val="-6"/>
        </w:rPr>
        <w:t>发展。积极培育更多国家级电商孵化器，进一步优化政策服务体系，支持梦想小镇、</w:t>
      </w:r>
      <w:r>
        <w:rPr>
          <w:rFonts w:ascii="仿宋_GB2312" w:hAnsi="仿宋_GB2312" w:hint="eastAsia"/>
          <w:spacing w:val="-6"/>
        </w:rPr>
        <w:t>Forte</w:t>
      </w:r>
      <w:r>
        <w:rPr>
          <w:rFonts w:ascii="仿宋_GB2312" w:hAnsi="仿宋_GB2312" w:hint="eastAsia"/>
          <w:spacing w:val="-6"/>
        </w:rPr>
        <w:t>等国际性创业</w:t>
      </w:r>
      <w:r>
        <w:rPr>
          <w:rFonts w:ascii="仿宋_GB2312" w:hAnsi="仿宋_GB2312" w:hint="eastAsia"/>
          <w:spacing w:val="-6"/>
        </w:rPr>
        <w:lastRenderedPageBreak/>
        <w:t>孵化器发展，提高创业孵化载体发展质量。加快电</w:t>
      </w:r>
      <w:proofErr w:type="gramStart"/>
      <w:r>
        <w:rPr>
          <w:rFonts w:ascii="仿宋_GB2312" w:hAnsi="仿宋_GB2312" w:hint="eastAsia"/>
          <w:spacing w:val="-6"/>
        </w:rPr>
        <w:t>商创业</w:t>
      </w:r>
      <w:proofErr w:type="gramEnd"/>
      <w:r>
        <w:rPr>
          <w:rFonts w:ascii="仿宋_GB2312" w:hAnsi="仿宋_GB2312" w:hint="eastAsia"/>
          <w:spacing w:val="-6"/>
        </w:rPr>
        <w:t>孵化基地建设，大力推进</w:t>
      </w:r>
      <w:proofErr w:type="gramStart"/>
      <w:r>
        <w:rPr>
          <w:rFonts w:ascii="仿宋_GB2312" w:hAnsi="仿宋_GB2312" w:hint="eastAsia"/>
          <w:spacing w:val="-6"/>
        </w:rPr>
        <w:t>新禾联</w:t>
      </w:r>
      <w:r>
        <w:rPr>
          <w:rFonts w:ascii="仿宋_GB2312" w:hAnsi="仿宋_GB2312" w:hint="eastAsia"/>
          <w:spacing w:val="-6"/>
        </w:rPr>
        <w:t>创数字</w:t>
      </w:r>
      <w:proofErr w:type="gramEnd"/>
      <w:r>
        <w:rPr>
          <w:rFonts w:ascii="仿宋_GB2312" w:hAnsi="仿宋_GB2312" w:hint="eastAsia"/>
          <w:spacing w:val="-6"/>
        </w:rPr>
        <w:t>时尚产业园、中国（杭州）</w:t>
      </w:r>
      <w:proofErr w:type="gramStart"/>
      <w:r>
        <w:rPr>
          <w:rFonts w:ascii="仿宋_GB2312" w:hAnsi="仿宋_GB2312" w:hint="eastAsia"/>
          <w:spacing w:val="-6"/>
        </w:rPr>
        <w:t>青年电</w:t>
      </w:r>
      <w:proofErr w:type="gramEnd"/>
      <w:r>
        <w:rPr>
          <w:rFonts w:ascii="仿宋_GB2312" w:hAnsi="仿宋_GB2312" w:hint="eastAsia"/>
          <w:spacing w:val="-6"/>
        </w:rPr>
        <w:t>商主播培训基地建设。</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5.</w:t>
      </w:r>
      <w:r>
        <w:rPr>
          <w:rFonts w:ascii="仿宋_GB2312" w:hAnsi="仿宋_GB2312" w:hint="eastAsia"/>
        </w:rPr>
        <w:t>打造</w:t>
      </w:r>
      <w:r>
        <w:rPr>
          <w:rFonts w:ascii="仿宋_GB2312" w:hAnsi="仿宋_GB2312" w:hint="eastAsia"/>
        </w:rPr>
        <w:t>生活品牌</w:t>
      </w:r>
      <w:proofErr w:type="gramStart"/>
      <w:r>
        <w:rPr>
          <w:rFonts w:ascii="仿宋_GB2312" w:hAnsi="仿宋_GB2312" w:hint="eastAsia"/>
        </w:rPr>
        <w:t>塑造商</w:t>
      </w:r>
      <w:proofErr w:type="gramEnd"/>
      <w:r>
        <w:rPr>
          <w:rFonts w:ascii="仿宋_GB2312" w:hAnsi="仿宋_GB2312" w:hint="eastAsia"/>
        </w:rPr>
        <w:t>发展高地。</w:t>
      </w:r>
      <w:r>
        <w:rPr>
          <w:rFonts w:ascii="仿宋_GB2312" w:hAnsi="仿宋_GB2312" w:hint="eastAsia"/>
        </w:rPr>
        <w:t>围绕细分目标人群的个性需求、时尚需求，支持</w:t>
      </w:r>
      <w:r>
        <w:rPr>
          <w:rFonts w:ascii="仿宋_GB2312" w:hAnsi="仿宋_GB2312" w:hint="eastAsia"/>
        </w:rPr>
        <w:t>生活品牌</w:t>
      </w:r>
      <w:proofErr w:type="gramStart"/>
      <w:r>
        <w:rPr>
          <w:rFonts w:ascii="仿宋_GB2312" w:hAnsi="仿宋_GB2312" w:hint="eastAsia"/>
        </w:rPr>
        <w:t>塑造商</w:t>
      </w:r>
      <w:r>
        <w:rPr>
          <w:rFonts w:ascii="仿宋_GB2312" w:hAnsi="仿宋_GB2312" w:hint="eastAsia"/>
        </w:rPr>
        <w:t>推广杭州本地</w:t>
      </w:r>
      <w:proofErr w:type="gramEnd"/>
      <w:r>
        <w:rPr>
          <w:rFonts w:ascii="仿宋_GB2312" w:hAnsi="仿宋_GB2312" w:hint="eastAsia"/>
        </w:rPr>
        <w:t>优质特色商品，助力“杭派女装”等本土优势产业升级。打造若干个</w:t>
      </w:r>
      <w:r>
        <w:rPr>
          <w:rFonts w:ascii="仿宋_GB2312" w:hAnsi="仿宋_GB2312" w:hint="eastAsia"/>
        </w:rPr>
        <w:t>生活品牌</w:t>
      </w:r>
      <w:proofErr w:type="gramStart"/>
      <w:r>
        <w:rPr>
          <w:rFonts w:ascii="仿宋_GB2312" w:hAnsi="仿宋_GB2312" w:hint="eastAsia"/>
        </w:rPr>
        <w:t>塑造商</w:t>
      </w:r>
      <w:proofErr w:type="gramEnd"/>
      <w:r>
        <w:rPr>
          <w:rFonts w:ascii="仿宋_GB2312" w:hAnsi="仿宋_GB2312" w:hint="eastAsia"/>
        </w:rPr>
        <w:t>培育</w:t>
      </w:r>
      <w:r>
        <w:rPr>
          <w:rFonts w:ascii="仿宋_GB2312" w:hAnsi="仿宋_GB2312" w:hint="eastAsia"/>
        </w:rPr>
        <w:t>园区（基地），</w:t>
      </w:r>
      <w:r>
        <w:rPr>
          <w:rFonts w:ascii="仿宋_GB2312" w:hAnsi="仿宋_GB2312" w:hint="eastAsia"/>
        </w:rPr>
        <w:t>推动经纪公司、数据分析等上下游产业集聚，完善产业链并形成规模效应。</w:t>
      </w:r>
      <w:r>
        <w:rPr>
          <w:rFonts w:ascii="仿宋_GB2312" w:hAnsi="仿宋_GB2312" w:hint="eastAsia"/>
        </w:rPr>
        <w:t>鼓励园区组织系统</w:t>
      </w:r>
      <w:r>
        <w:rPr>
          <w:rFonts w:ascii="仿宋_GB2312" w:hAnsi="仿宋_GB2312" w:hint="eastAsia"/>
        </w:rPr>
        <w:t>化、专业化</w:t>
      </w:r>
      <w:r>
        <w:rPr>
          <w:rFonts w:ascii="仿宋_GB2312" w:hAnsi="仿宋_GB2312" w:hint="eastAsia"/>
        </w:rPr>
        <w:t>培训，促进产业发展。大力培育</w:t>
      </w:r>
      <w:r>
        <w:rPr>
          <w:rFonts w:ascii="仿宋_GB2312" w:hAnsi="仿宋_GB2312" w:hint="eastAsia"/>
        </w:rPr>
        <w:t>生活品牌</w:t>
      </w:r>
      <w:proofErr w:type="gramStart"/>
      <w:r>
        <w:rPr>
          <w:rFonts w:ascii="仿宋_GB2312" w:hAnsi="仿宋_GB2312" w:hint="eastAsia"/>
        </w:rPr>
        <w:t>塑造商</w:t>
      </w:r>
      <w:proofErr w:type="gramEnd"/>
      <w:r>
        <w:rPr>
          <w:rFonts w:ascii="仿宋_GB2312" w:hAnsi="仿宋_GB2312" w:hint="eastAsia"/>
        </w:rPr>
        <w:t>研究机构，探索制定</w:t>
      </w:r>
      <w:r>
        <w:rPr>
          <w:rFonts w:ascii="仿宋_GB2312" w:hAnsi="仿宋_GB2312" w:hint="eastAsia"/>
        </w:rPr>
        <w:t>相关</w:t>
      </w:r>
      <w:r>
        <w:rPr>
          <w:rFonts w:ascii="仿宋_GB2312" w:hAnsi="仿宋_GB2312" w:hint="eastAsia"/>
        </w:rPr>
        <w:t>领域的行业标准和技术规范，并向全国辐射输出。</w:t>
      </w:r>
    </w:p>
    <w:p w:rsidR="00CD2EF2" w:rsidRDefault="00CD2EF2" w:rsidP="00BA1400">
      <w:pPr>
        <w:snapToGrid w:val="0"/>
        <w:spacing w:line="240" w:lineRule="auto"/>
        <w:ind w:firstLineChars="200" w:firstLine="348"/>
        <w:rPr>
          <w:sz w:val="18"/>
        </w:rPr>
      </w:pPr>
    </w:p>
    <w:tbl>
      <w:tblPr>
        <w:tblW w:w="884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
        <w:gridCol w:w="2742"/>
        <w:gridCol w:w="5965"/>
        <w:gridCol w:w="64"/>
      </w:tblGrid>
      <w:tr w:rsidR="00CD2EF2">
        <w:trPr>
          <w:gridAfter w:val="1"/>
          <w:wAfter w:w="64" w:type="dxa"/>
          <w:trHeight w:val="680"/>
          <w:jc w:val="center"/>
        </w:trPr>
        <w:tc>
          <w:tcPr>
            <w:tcW w:w="87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jc w:val="center"/>
              <w:rPr>
                <w:rFonts w:ascii="黑体" w:eastAsia="黑体" w:hAnsi="黑体"/>
                <w:sz w:val="28"/>
                <w:szCs w:val="28"/>
              </w:rPr>
            </w:pPr>
            <w:r>
              <w:rPr>
                <w:rFonts w:ascii="黑体" w:eastAsia="黑体" w:hAnsi="黑体" w:hint="eastAsia"/>
                <w:sz w:val="28"/>
                <w:szCs w:val="28"/>
              </w:rPr>
              <w:t>专栏</w:t>
            </w:r>
            <w:r>
              <w:rPr>
                <w:rFonts w:ascii="黑体" w:eastAsia="黑体" w:hAnsi="黑体" w:hint="eastAsia"/>
                <w:sz w:val="28"/>
                <w:szCs w:val="28"/>
              </w:rPr>
              <w:t xml:space="preserve">9  </w:t>
            </w:r>
            <w:r>
              <w:rPr>
                <w:rFonts w:ascii="黑体" w:eastAsia="黑体" w:hAnsi="黑体" w:hint="eastAsia"/>
                <w:sz w:val="28"/>
                <w:szCs w:val="28"/>
              </w:rPr>
              <w:t>“十四五”时期杭州电子商务重点工程</w:t>
            </w:r>
          </w:p>
        </w:tc>
      </w:tr>
      <w:tr w:rsidR="00CD2EF2">
        <w:trPr>
          <w:gridBefore w:val="1"/>
          <w:wBefore w:w="70" w:type="dxa"/>
          <w:trHeight w:val="567"/>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重点工程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主</w:t>
            </w:r>
            <w:r>
              <w:rPr>
                <w:rFonts w:ascii="黑体" w:eastAsia="黑体" w:hAnsi="黑体" w:hint="eastAsia"/>
                <w:sz w:val="24"/>
              </w:rPr>
              <w:t xml:space="preserve"> </w:t>
            </w:r>
            <w:r>
              <w:rPr>
                <w:rFonts w:ascii="黑体" w:eastAsia="黑体" w:hAnsi="黑体" w:hint="eastAsia"/>
                <w:sz w:val="24"/>
              </w:rPr>
              <w:t>要</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r>
      <w:tr w:rsidR="00CD2EF2">
        <w:trPr>
          <w:gridBefore w:val="1"/>
          <w:wBefore w:w="70" w:type="dxa"/>
          <w:trHeight w:val="950"/>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前沿技术探索工程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培育未来电商技术发展环境，推进电商技术应用发展，持续推进新型基础设施建设。</w:t>
            </w:r>
          </w:p>
        </w:tc>
      </w:tr>
      <w:tr w:rsidR="00CD2EF2">
        <w:trPr>
          <w:gridBefore w:val="1"/>
          <w:wBefore w:w="70" w:type="dxa"/>
          <w:trHeight w:val="910"/>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电商生态保护工程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促进头部企业内部创新，逐步</w:t>
            </w:r>
            <w:proofErr w:type="gramStart"/>
            <w:r>
              <w:rPr>
                <w:rFonts w:hint="eastAsia"/>
                <w:sz w:val="24"/>
              </w:rPr>
              <w:t>完善电商行</w:t>
            </w:r>
            <w:proofErr w:type="gramEnd"/>
            <w:r>
              <w:rPr>
                <w:rFonts w:hint="eastAsia"/>
                <w:sz w:val="24"/>
              </w:rPr>
              <w:t>业梯队建设，推动中小型企业进阶发展。</w:t>
            </w:r>
          </w:p>
        </w:tc>
      </w:tr>
      <w:tr w:rsidR="00CD2EF2">
        <w:trPr>
          <w:gridBefore w:val="1"/>
          <w:wBefore w:w="70" w:type="dxa"/>
          <w:trHeight w:val="835"/>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全域电商融合工程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激发体育健康消费新潜力，开发</w:t>
            </w:r>
            <w:proofErr w:type="gramStart"/>
            <w:r>
              <w:rPr>
                <w:rFonts w:hint="eastAsia"/>
                <w:sz w:val="24"/>
              </w:rPr>
              <w:t>宅</w:t>
            </w:r>
            <w:proofErr w:type="gramEnd"/>
            <w:r>
              <w:rPr>
                <w:rFonts w:hint="eastAsia"/>
                <w:sz w:val="24"/>
              </w:rPr>
              <w:t>经济衍生产品，启动创意集市促进经济，探索解决</w:t>
            </w:r>
            <w:proofErr w:type="gramStart"/>
            <w:r>
              <w:rPr>
                <w:rFonts w:hint="eastAsia"/>
                <w:sz w:val="24"/>
              </w:rPr>
              <w:t>绿色电</w:t>
            </w:r>
            <w:proofErr w:type="gramEnd"/>
            <w:r>
              <w:rPr>
                <w:rFonts w:hint="eastAsia"/>
                <w:sz w:val="24"/>
              </w:rPr>
              <w:t>商问题。</w:t>
            </w:r>
          </w:p>
        </w:tc>
      </w:tr>
      <w:tr w:rsidR="00CD2EF2">
        <w:trPr>
          <w:gridBefore w:val="1"/>
          <w:wBefore w:w="70" w:type="dxa"/>
          <w:trHeight w:val="805"/>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数字新服务推进工程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完善数字生活服务供给，丰富新服务消费场景，拓展新服务覆盖领域。</w:t>
            </w:r>
          </w:p>
        </w:tc>
      </w:tr>
      <w:tr w:rsidR="00CD2EF2">
        <w:trPr>
          <w:gridBefore w:val="1"/>
          <w:wBefore w:w="70" w:type="dxa"/>
          <w:trHeight w:val="820"/>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生活品牌塑造商</w:t>
            </w:r>
          </w:p>
          <w:p w:rsidR="00CD2EF2" w:rsidRDefault="003F5178">
            <w:pPr>
              <w:jc w:val="center"/>
              <w:rPr>
                <w:sz w:val="24"/>
              </w:rPr>
            </w:pPr>
            <w:r>
              <w:rPr>
                <w:rFonts w:hint="eastAsia"/>
                <w:sz w:val="24"/>
              </w:rPr>
              <w:t>示范工程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助力</w:t>
            </w:r>
            <w:proofErr w:type="gramStart"/>
            <w:r>
              <w:rPr>
                <w:rFonts w:hint="eastAsia"/>
                <w:sz w:val="24"/>
              </w:rPr>
              <w:t>传统电</w:t>
            </w:r>
            <w:proofErr w:type="gramEnd"/>
            <w:r>
              <w:rPr>
                <w:rFonts w:hint="eastAsia"/>
                <w:sz w:val="24"/>
              </w:rPr>
              <w:t>商转型升级，支持</w:t>
            </w:r>
            <w:r>
              <w:rPr>
                <w:rFonts w:hint="eastAsia"/>
                <w:sz w:val="24"/>
              </w:rPr>
              <w:t>生活品牌</w:t>
            </w:r>
            <w:proofErr w:type="gramStart"/>
            <w:r>
              <w:rPr>
                <w:rFonts w:hint="eastAsia"/>
                <w:sz w:val="24"/>
              </w:rPr>
              <w:t>塑造商</w:t>
            </w:r>
            <w:r>
              <w:rPr>
                <w:rFonts w:hint="eastAsia"/>
                <w:sz w:val="24"/>
              </w:rPr>
              <w:t>促进</w:t>
            </w:r>
            <w:proofErr w:type="gramEnd"/>
            <w:r>
              <w:rPr>
                <w:rFonts w:hint="eastAsia"/>
                <w:sz w:val="24"/>
              </w:rPr>
              <w:t>消费，制定</w:t>
            </w:r>
            <w:r>
              <w:rPr>
                <w:rFonts w:hint="eastAsia"/>
                <w:sz w:val="24"/>
              </w:rPr>
              <w:t>相关评价</w:t>
            </w:r>
            <w:r>
              <w:rPr>
                <w:rFonts w:hint="eastAsia"/>
                <w:sz w:val="24"/>
              </w:rPr>
              <w:t>标准。</w:t>
            </w:r>
          </w:p>
        </w:tc>
      </w:tr>
      <w:tr w:rsidR="00CD2EF2">
        <w:trPr>
          <w:gridBefore w:val="1"/>
          <w:wBefore w:w="70" w:type="dxa"/>
          <w:trHeight w:val="820"/>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新零售业引领工程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探索新零售统计问题，改进新零售产业协同，</w:t>
            </w:r>
            <w:proofErr w:type="gramStart"/>
            <w:r>
              <w:rPr>
                <w:rFonts w:hint="eastAsia"/>
                <w:sz w:val="24"/>
              </w:rPr>
              <w:t>搭建</w:t>
            </w:r>
            <w:r>
              <w:rPr>
                <w:rFonts w:hint="eastAsia"/>
                <w:sz w:val="24"/>
              </w:rPr>
              <w:t>线</w:t>
            </w:r>
            <w:proofErr w:type="gramEnd"/>
            <w:r>
              <w:rPr>
                <w:rFonts w:hint="eastAsia"/>
                <w:sz w:val="24"/>
              </w:rPr>
              <w:t>上会展</w:t>
            </w:r>
            <w:proofErr w:type="gramStart"/>
            <w:r>
              <w:rPr>
                <w:rFonts w:hint="eastAsia"/>
                <w:sz w:val="24"/>
              </w:rPr>
              <w:t>等电商新</w:t>
            </w:r>
            <w:proofErr w:type="gramEnd"/>
            <w:r>
              <w:rPr>
                <w:rFonts w:hint="eastAsia"/>
                <w:sz w:val="24"/>
              </w:rPr>
              <w:t>舞台，建设新零售行业标杆城市。</w:t>
            </w:r>
          </w:p>
        </w:tc>
      </w:tr>
      <w:tr w:rsidR="00CD2EF2">
        <w:trPr>
          <w:gridBefore w:val="1"/>
          <w:wBefore w:w="70" w:type="dxa"/>
          <w:trHeight w:val="915"/>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proofErr w:type="gramStart"/>
            <w:r>
              <w:rPr>
                <w:rFonts w:hint="eastAsia"/>
                <w:sz w:val="24"/>
              </w:rPr>
              <w:lastRenderedPageBreak/>
              <w:t>普惠电商</w:t>
            </w:r>
            <w:proofErr w:type="gramEnd"/>
            <w:r>
              <w:rPr>
                <w:rFonts w:hint="eastAsia"/>
                <w:sz w:val="24"/>
              </w:rPr>
              <w:t>应用工程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强化小微创业者培养，助力商业步行街等建设，推动实体经济转型升级，持续关注数字鸿沟问题，规范行业秩序。</w:t>
            </w:r>
          </w:p>
        </w:tc>
      </w:tr>
      <w:tr w:rsidR="00CD2EF2">
        <w:trPr>
          <w:gridBefore w:val="1"/>
          <w:wBefore w:w="70" w:type="dxa"/>
          <w:trHeight w:val="835"/>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proofErr w:type="gramStart"/>
            <w:r>
              <w:rPr>
                <w:rFonts w:hint="eastAsia"/>
                <w:sz w:val="24"/>
              </w:rPr>
              <w:t>乡村电</w:t>
            </w:r>
            <w:proofErr w:type="gramEnd"/>
            <w:r>
              <w:rPr>
                <w:rFonts w:hint="eastAsia"/>
                <w:sz w:val="24"/>
              </w:rPr>
              <w:t>商振兴工程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延续</w:t>
            </w:r>
            <w:proofErr w:type="gramStart"/>
            <w:r>
              <w:rPr>
                <w:rFonts w:hint="eastAsia"/>
                <w:sz w:val="24"/>
              </w:rPr>
              <w:t>完善电</w:t>
            </w:r>
            <w:proofErr w:type="gramEnd"/>
            <w:r>
              <w:rPr>
                <w:rFonts w:hint="eastAsia"/>
                <w:sz w:val="24"/>
              </w:rPr>
              <w:t>商扶贫成果，提升电</w:t>
            </w:r>
            <w:proofErr w:type="gramStart"/>
            <w:r>
              <w:rPr>
                <w:rFonts w:hint="eastAsia"/>
                <w:sz w:val="24"/>
              </w:rPr>
              <w:t>商服务</w:t>
            </w:r>
            <w:proofErr w:type="gramEnd"/>
            <w:r>
              <w:rPr>
                <w:rFonts w:hint="eastAsia"/>
                <w:sz w:val="24"/>
              </w:rPr>
              <w:t>乡村旅游水平，保持电商扶贫可持续性。</w:t>
            </w:r>
          </w:p>
        </w:tc>
      </w:tr>
      <w:tr w:rsidR="00CD2EF2">
        <w:trPr>
          <w:gridBefore w:val="1"/>
          <w:wBefore w:w="70" w:type="dxa"/>
          <w:trHeight w:val="793"/>
          <w:jc w:val="center"/>
        </w:trPr>
        <w:tc>
          <w:tcPr>
            <w:tcW w:w="2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sz w:val="24"/>
              </w:rPr>
            </w:pPr>
            <w:r>
              <w:rPr>
                <w:rFonts w:hint="eastAsia"/>
                <w:sz w:val="24"/>
              </w:rPr>
              <w:t>电商人才提升工程</w:t>
            </w:r>
          </w:p>
        </w:tc>
        <w:tc>
          <w:tcPr>
            <w:tcW w:w="60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sz w:val="24"/>
              </w:rPr>
            </w:pPr>
            <w:r>
              <w:rPr>
                <w:rFonts w:hint="eastAsia"/>
                <w:sz w:val="24"/>
              </w:rPr>
              <w:t>提高人才培养能力，着力引进专业型人才，完善专业人才柔性制度。</w:t>
            </w:r>
          </w:p>
        </w:tc>
      </w:tr>
    </w:tbl>
    <w:p w:rsidR="00CD2EF2" w:rsidRDefault="003F5178" w:rsidP="00BA1400">
      <w:pPr>
        <w:adjustRightInd w:val="0"/>
        <w:snapToGrid w:val="0"/>
        <w:spacing w:beforeLines="50" w:before="295" w:line="336" w:lineRule="auto"/>
        <w:ind w:firstLineChars="200" w:firstLine="628"/>
        <w:outlineLvl w:val="1"/>
        <w:rPr>
          <w:rFonts w:eastAsia="楷体_GB2312"/>
        </w:rPr>
      </w:pPr>
      <w:bookmarkStart w:id="229" w:name="_Toc28251"/>
      <w:bookmarkStart w:id="230" w:name="_Toc21440"/>
      <w:bookmarkStart w:id="231" w:name="_Toc19361"/>
      <w:bookmarkStart w:id="232" w:name="_Toc16311"/>
      <w:bookmarkStart w:id="233" w:name="_Toc17834"/>
      <w:bookmarkStart w:id="234" w:name="_Toc28732"/>
      <w:bookmarkStart w:id="235" w:name="_Toc23179"/>
      <w:bookmarkStart w:id="236" w:name="_Toc14826"/>
      <w:bookmarkStart w:id="237" w:name="_Toc27380"/>
      <w:bookmarkStart w:id="238" w:name="_Toc23718"/>
      <w:bookmarkStart w:id="239" w:name="_Toc14791"/>
      <w:r>
        <w:rPr>
          <w:rFonts w:eastAsia="楷体_GB2312" w:hint="eastAsia"/>
        </w:rPr>
        <w:t>（十）健全粮食物资保障体系，强化生活物资供给安全</w:t>
      </w:r>
      <w:bookmarkEnd w:id="229"/>
      <w:bookmarkEnd w:id="230"/>
      <w:bookmarkEnd w:id="231"/>
      <w:bookmarkEnd w:id="232"/>
      <w:bookmarkEnd w:id="233"/>
      <w:bookmarkEnd w:id="234"/>
      <w:bookmarkEnd w:id="235"/>
      <w:bookmarkEnd w:id="236"/>
      <w:bookmarkEnd w:id="237"/>
      <w:bookmarkEnd w:id="238"/>
      <w:bookmarkEnd w:id="239"/>
      <w:r>
        <w:rPr>
          <w:rFonts w:eastAsia="楷体_GB2312" w:hint="eastAsia"/>
        </w:rPr>
        <w:t>。</w:t>
      </w:r>
    </w:p>
    <w:p w:rsidR="00CD2EF2" w:rsidRDefault="003F5178" w:rsidP="00BA1400">
      <w:pPr>
        <w:pStyle w:val="a1"/>
        <w:adjustRightInd w:val="0"/>
        <w:snapToGrid w:val="0"/>
        <w:spacing w:line="336" w:lineRule="auto"/>
        <w:ind w:firstLineChars="200" w:firstLine="628"/>
        <w:rPr>
          <w:rFonts w:ascii="仿宋_GB2312" w:eastAsia="仿宋_GB2312" w:hAnsi="仿宋_GB2312"/>
          <w:spacing w:val="-6"/>
          <w:sz w:val="32"/>
        </w:rPr>
      </w:pPr>
      <w:r>
        <w:rPr>
          <w:rFonts w:ascii="仿宋_GB2312" w:eastAsia="仿宋_GB2312" w:hAnsi="仿宋_GB2312" w:hint="eastAsia"/>
          <w:spacing w:val="-6"/>
          <w:sz w:val="32"/>
        </w:rPr>
        <w:t>1.</w:t>
      </w:r>
      <w:r>
        <w:rPr>
          <w:rFonts w:ascii="仿宋_GB2312" w:eastAsia="仿宋_GB2312" w:hAnsi="仿宋_GB2312" w:hint="eastAsia"/>
          <w:spacing w:val="-6"/>
          <w:sz w:val="32"/>
        </w:rPr>
        <w:t>强化应急物资储备管理。推进物资储备应急保障中心建设，加强人员培训，组建应急物资采购、收储、轮换调拨等方面的专业应急人才队伍。强化应急物资储备管理的资金支持，对过渡时期的仓库建设改造和仓储设施购置维护、物资采购整理、轮换、保管、运输调拨和物资代储等费用给予财政资金保障。加强市级应急物资储备设施建设，扩大应急物资储备规模，在确保粮食安全的前提下，允许利用闲置的国有粮食收储仓库并对其进行必要改造。由市商务部门与应急管理部门协同建立应急物资信息管理平台，</w:t>
      </w:r>
      <w:proofErr w:type="gramStart"/>
      <w:r>
        <w:rPr>
          <w:rFonts w:ascii="仿宋_GB2312" w:eastAsia="仿宋_GB2312" w:hAnsi="仿宋_GB2312" w:hint="eastAsia"/>
          <w:spacing w:val="-6"/>
          <w:sz w:val="32"/>
        </w:rPr>
        <w:t>接入市</w:t>
      </w:r>
      <w:proofErr w:type="gramEnd"/>
      <w:r>
        <w:rPr>
          <w:rFonts w:ascii="仿宋_GB2312" w:eastAsia="仿宋_GB2312" w:hAnsi="仿宋_GB2312" w:hint="eastAsia"/>
          <w:spacing w:val="-6"/>
          <w:sz w:val="32"/>
        </w:rPr>
        <w:t>物资储备系统和市应急管理综合指挥平台，做到实时掌握应</w:t>
      </w:r>
      <w:r>
        <w:rPr>
          <w:rFonts w:ascii="仿宋_GB2312" w:eastAsia="仿宋_GB2312" w:hAnsi="仿宋_GB2312" w:hint="eastAsia"/>
          <w:spacing w:val="-6"/>
          <w:sz w:val="32"/>
        </w:rPr>
        <w:t>急物资储备情况，提升在极端气候、疫情防控等突发事件中的应急保供能力。推动大型优质电商平台接入应急资源管理平台，建立与骨干物流企业的长期联系，提高应急物资保供能力和物流配送能力。</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提高生活必需品保供能力。</w:t>
      </w:r>
      <w:r>
        <w:rPr>
          <w:rFonts w:ascii="仿宋_GB2312" w:hAnsi="仿宋_GB2312" w:hint="eastAsia"/>
        </w:rPr>
        <w:t>优化完善保供网点布局，坚持先建后拆，谋划建设</w:t>
      </w:r>
      <w:proofErr w:type="gramStart"/>
      <w:r>
        <w:rPr>
          <w:rFonts w:ascii="仿宋_GB2312" w:hAnsi="仿宋_GB2312" w:hint="eastAsia"/>
        </w:rPr>
        <w:t>钱塘区大江东板块</w:t>
      </w:r>
      <w:proofErr w:type="gramEnd"/>
      <w:r>
        <w:rPr>
          <w:rFonts w:ascii="仿宋_GB2312" w:hAnsi="仿宋_GB2312" w:hint="eastAsia"/>
        </w:rPr>
        <w:t>蔬菜批发市场，增强城市蔬菜储备能力，提升在极端气候、疫情防控等突发事件中的蔬菜</w:t>
      </w:r>
      <w:r>
        <w:rPr>
          <w:rFonts w:ascii="仿宋_GB2312" w:hAnsi="仿宋_GB2312" w:hint="eastAsia"/>
        </w:rPr>
        <w:lastRenderedPageBreak/>
        <w:t>供给保障能力。</w:t>
      </w:r>
      <w:r>
        <w:rPr>
          <w:rFonts w:ascii="仿宋_GB2312" w:hAnsi="仿宋_GB2312" w:hint="eastAsia"/>
        </w:rPr>
        <w:t>提前</w:t>
      </w:r>
      <w:proofErr w:type="gramStart"/>
      <w:r>
        <w:rPr>
          <w:rFonts w:ascii="仿宋_GB2312" w:hAnsi="仿宋_GB2312" w:hint="eastAsia"/>
        </w:rPr>
        <w:t>采购耐储蔬菜</w:t>
      </w:r>
      <w:proofErr w:type="gramEnd"/>
      <w:r>
        <w:rPr>
          <w:rFonts w:ascii="仿宋_GB2312" w:hAnsi="仿宋_GB2312" w:hint="eastAsia"/>
        </w:rPr>
        <w:t>，做好本地菜与客菜之间、设施菜与露天菜之间的梯次轮换和衔接供应。</w:t>
      </w:r>
      <w:r>
        <w:rPr>
          <w:rFonts w:ascii="仿宋_GB2312" w:hAnsi="仿宋_GB2312" w:hint="eastAsia"/>
        </w:rPr>
        <w:t>发挥大型国有商贸流通企业在生活必需品供应方面的领军作用，鼓励其利用资源优</w:t>
      </w:r>
      <w:r>
        <w:rPr>
          <w:rFonts w:ascii="仿宋_GB2312" w:hAnsi="仿宋_GB2312" w:hint="eastAsia"/>
        </w:rPr>
        <w:t>势</w:t>
      </w:r>
      <w:r>
        <w:rPr>
          <w:rFonts w:ascii="仿宋_GB2312" w:hAnsi="仿宋_GB2312" w:hint="eastAsia"/>
        </w:rPr>
        <w:t>，与蔬菜、粮油、畜禽养殖等农产品生产基地建立紧密合作关系，签订长期供销协议，顺畅粮、油、肉、菜等生活必需品供应渠道。优化统一采购、统一分销等渠道，推动大型国有商贸流通企业与经营户、采购商、供应商等各种渠道的深度融合发展，并向供应链上下游延伸，提升企业保供水平。根据各区域发展情况，在国际商业中心、城市商业中心、城市商业副中心等区域合理布局大型超市，在规划商业网点布局时优先考虑承担国计民生责任的国有商贸流通企业，不断扩大网点的辐射带动作用。充分利用大型连锁商贸企业网络优势，保证在紧急情况和重点时段正常运营，做到</w:t>
      </w:r>
      <w:r>
        <w:rPr>
          <w:rFonts w:ascii="仿宋_GB2312" w:hAnsi="仿宋_GB2312" w:hint="eastAsia"/>
        </w:rPr>
        <w:t>商品价格不涨、质量不降、供应不断。打造一批储备能力强、响应速度快、品质有保证的生活必需品储备网点。</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加快完善粮食物资储备体系。积极争取国家和省级专项资金，推进粮食和物资仓储设施的科学规划布局，加快粮库和物资储备库现代化建设和优化改造，推动杭州仁和粮食储备库、富阳区第二粮库建成投入使用，加快余杭、临安、桐庐等地新建项目开工建设，有效提升储备条件。鼓励粮油批发和加工企业积极开展改造升级，建设一批低温仓、准低温仓和物流基础建设，运用保质保鲜等绿色仓储、物流技术，提升“五优联动”实效，满足城乡居民消费升级需求。</w:t>
      </w:r>
    </w:p>
    <w:p w:rsidR="00CD2EF2" w:rsidRDefault="003F5178" w:rsidP="00BA1400">
      <w:pPr>
        <w:adjustRightInd w:val="0"/>
        <w:snapToGrid w:val="0"/>
        <w:spacing w:line="336" w:lineRule="auto"/>
        <w:ind w:firstLineChars="200" w:firstLine="628"/>
        <w:rPr>
          <w:rFonts w:ascii="仿宋_GB2312" w:hAnsi="仿宋_GB2312"/>
        </w:rPr>
      </w:pPr>
      <w:r>
        <w:rPr>
          <w:rFonts w:ascii="仿宋_GB2312" w:hAnsi="仿宋_GB2312" w:hint="eastAsia"/>
        </w:rPr>
        <w:lastRenderedPageBreak/>
        <w:t>4.</w:t>
      </w:r>
      <w:r>
        <w:rPr>
          <w:rFonts w:ascii="仿宋_GB2312" w:hAnsi="仿宋_GB2312" w:hint="eastAsia"/>
        </w:rPr>
        <w:t>加快完善粮油应急保障体系。培育一批粮食龙头骨干企业，大力支持粮油物流园区和粮食流通基础设施建设和技术改造，建立完善粮油调控和应急保障体系。以粮油批发市场为主，鼓励粮油加工企业适度集聚，建设若干区域性粮食物流配送中心和应急保障中心，支持优质企业建设应急供应网点，扩大应急保供网点覆盖范围，完善应急供应网络建设，实现城乡全覆盖。鼓励市内企业到省外建设粮食生产基地，建立省际间粮食收购、加工、储存基地（企业）。鼓励产区企业引进省外粮源基地、拓宽供应渠道，巩固省际、市际间的粮食产销战略合作。</w:t>
      </w:r>
    </w:p>
    <w:p w:rsidR="00CD2EF2" w:rsidRDefault="003F5178" w:rsidP="00BA1400">
      <w:pPr>
        <w:adjustRightInd w:val="0"/>
        <w:snapToGrid w:val="0"/>
        <w:spacing w:line="336" w:lineRule="auto"/>
        <w:ind w:firstLineChars="200" w:firstLine="628"/>
      </w:pPr>
      <w:r>
        <w:rPr>
          <w:rFonts w:ascii="仿宋_GB2312" w:hAnsi="仿宋_GB2312" w:hint="eastAsia"/>
        </w:rPr>
        <w:t>5.</w:t>
      </w:r>
      <w:r>
        <w:rPr>
          <w:rFonts w:ascii="仿宋_GB2312" w:hAnsi="仿宋_GB2312" w:hint="eastAsia"/>
        </w:rPr>
        <w:t>打造粮食智慧化生</w:t>
      </w:r>
      <w:r>
        <w:rPr>
          <w:rFonts w:ascii="仿宋_GB2312" w:hAnsi="仿宋_GB2312" w:hint="eastAsia"/>
        </w:rPr>
        <w:t>产、经营和管理体系。大力实施科技兴粮战略，增强粮食企业创新能力，引导企业发挥技术创新主体作用，支持行业龙头企业开展行业共性关键技术、装备的研发攻关和成果推广应用，在粮食仓储、加工、物流</w:t>
      </w:r>
      <w:r>
        <w:rPr>
          <w:rFonts w:ascii="仿宋_GB2312" w:hAnsi="仿宋_GB2312" w:hint="eastAsia"/>
        </w:rPr>
        <w:t>和</w:t>
      </w:r>
      <w:r>
        <w:rPr>
          <w:rFonts w:ascii="仿宋_GB2312" w:hAnsi="仿宋_GB2312" w:hint="eastAsia"/>
        </w:rPr>
        <w:t>营养健康主食及主食工业化等重点和特色产业领域打造一批企业技术创新中心或研发中心，保证粮食产业重点项目落地，争创全国名牌产品。推动地方、行业、企业等标准的制定和输出，引导企业与高校、科研院所、专业机构联合开展技术创新研究，及时将新技术转化为产品或在生产、工程项目中推广使用。探索各储备库点信息化系统联网，打通各区、县（市）纵向联</w:t>
      </w:r>
      <w:r>
        <w:rPr>
          <w:rFonts w:ascii="仿宋_GB2312" w:hAnsi="仿宋_GB2312" w:hint="eastAsia"/>
        </w:rPr>
        <w:t>网节结，打造全市“数字粮仓”管理模式。探索开发粮食行业信息系统，支持重点粮油批发市场改造升级，完善升级</w:t>
      </w:r>
      <w:r>
        <w:rPr>
          <w:rFonts w:ascii="仿宋_GB2312" w:hAnsi="仿宋_GB2312" w:hint="eastAsia"/>
        </w:rPr>
        <w:t>B2B</w:t>
      </w:r>
      <w:r>
        <w:rPr>
          <w:rFonts w:ascii="仿宋_GB2312" w:hAnsi="仿宋_GB2312" w:hint="eastAsia"/>
        </w:rPr>
        <w:t>交易系统，扩大建立</w:t>
      </w:r>
      <w:r>
        <w:rPr>
          <w:rFonts w:ascii="仿宋_GB2312" w:hAnsi="仿宋_GB2312" w:hint="eastAsia"/>
        </w:rPr>
        <w:t>C2C</w:t>
      </w:r>
      <w:r>
        <w:rPr>
          <w:rFonts w:ascii="仿宋_GB2312" w:hAnsi="仿宋_GB2312" w:hint="eastAsia"/>
        </w:rPr>
        <w:t>、</w:t>
      </w:r>
      <w:r>
        <w:rPr>
          <w:rFonts w:ascii="仿宋_GB2312" w:hAnsi="仿宋_GB2312" w:hint="eastAsia"/>
        </w:rPr>
        <w:t>O2O</w:t>
      </w:r>
      <w:r>
        <w:rPr>
          <w:rFonts w:ascii="仿宋_GB2312" w:hAnsi="仿宋_GB2312" w:hint="eastAsia"/>
        </w:rPr>
        <w:t>交易系统，指导企业、市场等应用物联网、</w:t>
      </w:r>
      <w:proofErr w:type="gramStart"/>
      <w:r>
        <w:rPr>
          <w:rFonts w:ascii="仿宋_GB2312" w:hAnsi="仿宋_GB2312" w:hint="eastAsia"/>
        </w:rPr>
        <w:t>云计算</w:t>
      </w:r>
      <w:proofErr w:type="gramEnd"/>
      <w:r>
        <w:rPr>
          <w:rFonts w:ascii="仿宋_GB2312" w:hAnsi="仿宋_GB2312" w:hint="eastAsia"/>
        </w:rPr>
        <w:t>等技术，进一步提升信息</w:t>
      </w:r>
      <w:r>
        <w:rPr>
          <w:rFonts w:ascii="仿宋_GB2312" w:hAnsi="仿宋_GB2312" w:hint="eastAsia"/>
        </w:rPr>
        <w:lastRenderedPageBreak/>
        <w:t>化交易和管理水平。</w:t>
      </w:r>
    </w:p>
    <w:p w:rsidR="00CD2EF2" w:rsidRDefault="00CD2EF2" w:rsidP="00BA1400">
      <w:pPr>
        <w:adjustRightInd w:val="0"/>
        <w:snapToGrid w:val="0"/>
        <w:spacing w:line="240" w:lineRule="auto"/>
        <w:ind w:firstLineChars="200" w:firstLine="348"/>
        <w:rPr>
          <w:sz w:val="18"/>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6321"/>
      </w:tblGrid>
      <w:tr w:rsidR="00CD2EF2">
        <w:trPr>
          <w:trHeight w:val="680"/>
          <w:tblHeader/>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adjustRightInd w:val="0"/>
              <w:snapToGrid w:val="0"/>
              <w:jc w:val="center"/>
              <w:rPr>
                <w:rFonts w:ascii="黑体" w:eastAsia="黑体" w:hAnsi="黑体"/>
                <w:sz w:val="28"/>
                <w:szCs w:val="28"/>
              </w:rPr>
            </w:pPr>
            <w:r>
              <w:rPr>
                <w:rFonts w:ascii="黑体" w:eastAsia="黑体" w:hAnsi="黑体" w:hint="eastAsia"/>
                <w:sz w:val="28"/>
                <w:szCs w:val="28"/>
              </w:rPr>
              <w:t>专栏</w:t>
            </w:r>
            <w:r>
              <w:rPr>
                <w:rFonts w:ascii="黑体" w:eastAsia="黑体" w:hAnsi="黑体" w:hint="eastAsia"/>
                <w:sz w:val="28"/>
                <w:szCs w:val="28"/>
              </w:rPr>
              <w:t xml:space="preserve">10  </w:t>
            </w:r>
            <w:r>
              <w:rPr>
                <w:rFonts w:ascii="黑体" w:eastAsia="黑体" w:hAnsi="黑体" w:hint="eastAsia"/>
                <w:sz w:val="28"/>
                <w:szCs w:val="28"/>
              </w:rPr>
              <w:t>“十四五”时期杭州粮食流通体系建设重点工程</w:t>
            </w:r>
          </w:p>
        </w:tc>
      </w:tr>
      <w:tr w:rsidR="00CD2EF2">
        <w:trPr>
          <w:trHeight w:val="567"/>
          <w:tblHeader/>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重点工程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黑体" w:eastAsia="黑体" w:hAnsi="黑体"/>
                <w:sz w:val="24"/>
              </w:rPr>
            </w:pPr>
            <w:r>
              <w:rPr>
                <w:rFonts w:ascii="黑体" w:eastAsia="黑体" w:hAnsi="黑体" w:hint="eastAsia"/>
                <w:sz w:val="24"/>
              </w:rPr>
              <w:t>主</w:t>
            </w:r>
            <w:r>
              <w:rPr>
                <w:rFonts w:ascii="黑体" w:eastAsia="黑体" w:hAnsi="黑体" w:hint="eastAsia"/>
                <w:sz w:val="24"/>
              </w:rPr>
              <w:t xml:space="preserve"> </w:t>
            </w:r>
            <w:r>
              <w:rPr>
                <w:rFonts w:ascii="黑体" w:eastAsia="黑体" w:hAnsi="黑体" w:hint="eastAsia"/>
                <w:sz w:val="24"/>
              </w:rPr>
              <w:t>要</w:t>
            </w:r>
            <w:r>
              <w:rPr>
                <w:rFonts w:ascii="黑体" w:eastAsia="黑体" w:hAnsi="黑体" w:hint="eastAsia"/>
                <w:sz w:val="24"/>
              </w:rPr>
              <w:t xml:space="preserve"> </w:t>
            </w:r>
            <w:r>
              <w:rPr>
                <w:rFonts w:ascii="黑体" w:eastAsia="黑体" w:hAnsi="黑体" w:hint="eastAsia"/>
                <w:sz w:val="24"/>
              </w:rPr>
              <w:t>内</w:t>
            </w:r>
            <w:r>
              <w:rPr>
                <w:rFonts w:ascii="黑体" w:eastAsia="黑体" w:hAnsi="黑体" w:hint="eastAsia"/>
                <w:sz w:val="24"/>
              </w:rPr>
              <w:t xml:space="preserve"> </w:t>
            </w:r>
            <w:r>
              <w:rPr>
                <w:rFonts w:ascii="黑体" w:eastAsia="黑体" w:hAnsi="黑体" w:hint="eastAsia"/>
                <w:sz w:val="24"/>
              </w:rPr>
              <w:t>容</w:t>
            </w:r>
          </w:p>
        </w:tc>
      </w:tr>
      <w:tr w:rsidR="00CD2EF2">
        <w:trPr>
          <w:trHeight w:val="1188"/>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粮食仓储建设工程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萧山、余杭、临安、桐庐、建德等粮库和相关企业计划新建、扩建仓容</w:t>
            </w:r>
            <w:r>
              <w:rPr>
                <w:rFonts w:ascii="仿宋_GB2312" w:hAnsi="仿宋_GB2312" w:hint="eastAsia"/>
                <w:sz w:val="24"/>
              </w:rPr>
              <w:t>18.2</w:t>
            </w:r>
            <w:r>
              <w:rPr>
                <w:rFonts w:ascii="仿宋_GB2312" w:hAnsi="仿宋_GB2312" w:hint="eastAsia"/>
                <w:sz w:val="24"/>
              </w:rPr>
              <w:t>万吨。各区、县（市）仓房维修改造拟投资</w:t>
            </w:r>
            <w:r>
              <w:rPr>
                <w:rFonts w:ascii="仿宋_GB2312" w:hAnsi="仿宋_GB2312" w:hint="eastAsia"/>
                <w:sz w:val="24"/>
              </w:rPr>
              <w:t>7511</w:t>
            </w:r>
            <w:r>
              <w:rPr>
                <w:rFonts w:ascii="仿宋_GB2312" w:hAnsi="仿宋_GB2312" w:hint="eastAsia"/>
                <w:sz w:val="24"/>
              </w:rPr>
              <w:t>万元。</w:t>
            </w:r>
          </w:p>
        </w:tc>
      </w:tr>
      <w:tr w:rsidR="00CD2EF2">
        <w:trPr>
          <w:trHeight w:val="1019"/>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绿色仓储提升工程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全市低温准低温</w:t>
            </w:r>
            <w:proofErr w:type="gramStart"/>
            <w:r>
              <w:rPr>
                <w:rFonts w:ascii="仿宋_GB2312" w:hAnsi="仿宋_GB2312" w:hint="eastAsia"/>
                <w:sz w:val="24"/>
              </w:rPr>
              <w:t>仓计划</w:t>
            </w:r>
            <w:proofErr w:type="gramEnd"/>
            <w:r>
              <w:rPr>
                <w:rFonts w:ascii="仿宋_GB2312" w:hAnsi="仿宋_GB2312" w:hint="eastAsia"/>
                <w:sz w:val="24"/>
              </w:rPr>
              <w:t>改造仓容</w:t>
            </w:r>
            <w:r>
              <w:rPr>
                <w:rFonts w:ascii="仿宋_GB2312" w:hAnsi="仿宋_GB2312" w:hint="eastAsia"/>
                <w:sz w:val="24"/>
              </w:rPr>
              <w:t>46.2</w:t>
            </w:r>
            <w:r>
              <w:rPr>
                <w:rFonts w:ascii="仿宋_GB2312" w:hAnsi="仿宋_GB2312" w:hint="eastAsia"/>
                <w:sz w:val="24"/>
              </w:rPr>
              <w:t>万吨，气调储粮计划改造仓容</w:t>
            </w:r>
            <w:r>
              <w:rPr>
                <w:rFonts w:ascii="仿宋_GB2312" w:hAnsi="仿宋_GB2312" w:hint="eastAsia"/>
                <w:sz w:val="24"/>
              </w:rPr>
              <w:t>60.4</w:t>
            </w:r>
            <w:r>
              <w:rPr>
                <w:rFonts w:ascii="仿宋_GB2312" w:hAnsi="仿宋_GB2312" w:hint="eastAsia"/>
                <w:sz w:val="24"/>
              </w:rPr>
              <w:t>万吨。</w:t>
            </w:r>
          </w:p>
        </w:tc>
      </w:tr>
      <w:tr w:rsidR="00CD2EF2">
        <w:trPr>
          <w:trHeight w:val="1188"/>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“五优联动”</w:t>
            </w:r>
          </w:p>
          <w:p w:rsidR="00CD2EF2" w:rsidRDefault="003F5178">
            <w:pPr>
              <w:jc w:val="center"/>
              <w:rPr>
                <w:rFonts w:ascii="仿宋_GB2312" w:hAnsi="仿宋_GB2312"/>
                <w:sz w:val="24"/>
              </w:rPr>
            </w:pPr>
            <w:r>
              <w:rPr>
                <w:rFonts w:ascii="仿宋_GB2312" w:hAnsi="仿宋_GB2312" w:hint="eastAsia"/>
                <w:sz w:val="24"/>
              </w:rPr>
              <w:t>提</w:t>
            </w:r>
            <w:proofErr w:type="gramStart"/>
            <w:r>
              <w:rPr>
                <w:rFonts w:ascii="仿宋_GB2312" w:hAnsi="仿宋_GB2312" w:hint="eastAsia"/>
                <w:sz w:val="24"/>
              </w:rPr>
              <w:t>质扩面</w:t>
            </w:r>
            <w:proofErr w:type="gramEnd"/>
            <w:r>
              <w:rPr>
                <w:rFonts w:ascii="仿宋_GB2312" w:hAnsi="仿宋_GB2312" w:hint="eastAsia"/>
                <w:sz w:val="24"/>
              </w:rPr>
              <w:t>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proofErr w:type="gramStart"/>
            <w:r>
              <w:rPr>
                <w:rFonts w:ascii="仿宋_GB2312" w:hAnsi="仿宋_GB2312" w:hint="eastAsia"/>
                <w:sz w:val="24"/>
              </w:rPr>
              <w:t>优粮优</w:t>
            </w:r>
            <w:proofErr w:type="gramEnd"/>
            <w:r>
              <w:rPr>
                <w:rFonts w:ascii="仿宋_GB2312" w:hAnsi="仿宋_GB2312" w:hint="eastAsia"/>
                <w:sz w:val="24"/>
              </w:rPr>
              <w:t>购</w:t>
            </w:r>
            <w:r>
              <w:rPr>
                <w:rFonts w:ascii="仿宋_GB2312" w:hAnsi="仿宋_GB2312" w:hint="eastAsia"/>
                <w:sz w:val="24"/>
              </w:rPr>
              <w:t>9.6</w:t>
            </w:r>
            <w:r>
              <w:rPr>
                <w:rFonts w:ascii="仿宋_GB2312" w:hAnsi="仿宋_GB2312" w:hint="eastAsia"/>
                <w:sz w:val="24"/>
              </w:rPr>
              <w:t>万吨，</w:t>
            </w:r>
            <w:proofErr w:type="gramStart"/>
            <w:r>
              <w:rPr>
                <w:rFonts w:ascii="仿宋_GB2312" w:hAnsi="仿宋_GB2312" w:hint="eastAsia"/>
                <w:sz w:val="24"/>
              </w:rPr>
              <w:t>优粮优储</w:t>
            </w:r>
            <w:proofErr w:type="gramEnd"/>
            <w:r>
              <w:rPr>
                <w:rFonts w:ascii="仿宋_GB2312" w:hAnsi="仿宋_GB2312" w:hint="eastAsia"/>
                <w:sz w:val="24"/>
              </w:rPr>
              <w:t>9.0</w:t>
            </w:r>
            <w:r>
              <w:rPr>
                <w:rFonts w:ascii="仿宋_GB2312" w:hAnsi="仿宋_GB2312" w:hint="eastAsia"/>
                <w:sz w:val="24"/>
              </w:rPr>
              <w:t>万吨，</w:t>
            </w:r>
            <w:proofErr w:type="gramStart"/>
            <w:r>
              <w:rPr>
                <w:rFonts w:ascii="仿宋_GB2312" w:hAnsi="仿宋_GB2312" w:hint="eastAsia"/>
                <w:sz w:val="24"/>
              </w:rPr>
              <w:t>优粮优加</w:t>
            </w:r>
            <w:proofErr w:type="gramEnd"/>
            <w:r>
              <w:rPr>
                <w:rFonts w:ascii="仿宋_GB2312" w:hAnsi="仿宋_GB2312" w:hint="eastAsia"/>
                <w:sz w:val="24"/>
              </w:rPr>
              <w:t>12.4</w:t>
            </w:r>
            <w:r>
              <w:rPr>
                <w:rFonts w:ascii="仿宋_GB2312" w:hAnsi="仿宋_GB2312" w:hint="eastAsia"/>
                <w:sz w:val="24"/>
              </w:rPr>
              <w:t>万吨，</w:t>
            </w:r>
            <w:proofErr w:type="gramStart"/>
            <w:r>
              <w:rPr>
                <w:rFonts w:ascii="仿宋_GB2312" w:hAnsi="仿宋_GB2312" w:hint="eastAsia"/>
                <w:sz w:val="24"/>
              </w:rPr>
              <w:t>优粮优销</w:t>
            </w:r>
            <w:proofErr w:type="gramEnd"/>
            <w:r>
              <w:rPr>
                <w:rFonts w:ascii="仿宋_GB2312" w:hAnsi="仿宋_GB2312" w:hint="eastAsia"/>
                <w:sz w:val="24"/>
              </w:rPr>
              <w:t>5.3</w:t>
            </w:r>
            <w:r>
              <w:rPr>
                <w:rFonts w:ascii="仿宋_GB2312" w:hAnsi="仿宋_GB2312" w:hint="eastAsia"/>
                <w:sz w:val="24"/>
              </w:rPr>
              <w:t>万吨，达到农民增收、财政减负、企业增效的预期目标。</w:t>
            </w:r>
          </w:p>
        </w:tc>
      </w:tr>
      <w:tr w:rsidR="00CD2EF2">
        <w:trPr>
          <w:trHeight w:val="892"/>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放心粮油示范县工程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富阳、临安创建省级“放心粮油示范县”。</w:t>
            </w:r>
          </w:p>
        </w:tc>
      </w:tr>
      <w:tr w:rsidR="00CD2EF2">
        <w:trPr>
          <w:trHeight w:val="2017"/>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产业龙头企业</w:t>
            </w:r>
          </w:p>
          <w:p w:rsidR="00CD2EF2" w:rsidRDefault="003F5178">
            <w:pPr>
              <w:jc w:val="center"/>
              <w:rPr>
                <w:rFonts w:ascii="仿宋_GB2312" w:hAnsi="仿宋_GB2312"/>
                <w:sz w:val="24"/>
              </w:rPr>
            </w:pPr>
            <w:r>
              <w:rPr>
                <w:rFonts w:ascii="仿宋_GB2312" w:hAnsi="仿宋_GB2312" w:hint="eastAsia"/>
                <w:sz w:val="24"/>
              </w:rPr>
              <w:t>培育工程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浙江恒天新建日产</w:t>
            </w:r>
            <w:r>
              <w:rPr>
                <w:rFonts w:ascii="仿宋_GB2312" w:hAnsi="仿宋_GB2312" w:hint="eastAsia"/>
                <w:sz w:val="24"/>
              </w:rPr>
              <w:t>100</w:t>
            </w:r>
            <w:r>
              <w:rPr>
                <w:rFonts w:ascii="仿宋_GB2312" w:hAnsi="仿宋_GB2312" w:hint="eastAsia"/>
                <w:sz w:val="24"/>
              </w:rPr>
              <w:t>吨大米精加工、日产</w:t>
            </w:r>
            <w:r>
              <w:rPr>
                <w:rFonts w:ascii="仿宋_GB2312" w:hAnsi="仿宋_GB2312" w:hint="eastAsia"/>
                <w:sz w:val="24"/>
              </w:rPr>
              <w:t>500</w:t>
            </w:r>
            <w:r>
              <w:rPr>
                <w:rFonts w:ascii="仿宋_GB2312" w:hAnsi="仿宋_GB2312" w:hint="eastAsia"/>
                <w:sz w:val="24"/>
              </w:rPr>
              <w:t>吨专用面粉、日产</w:t>
            </w:r>
            <w:r>
              <w:rPr>
                <w:rFonts w:ascii="仿宋_GB2312" w:hAnsi="仿宋_GB2312" w:hint="eastAsia"/>
                <w:sz w:val="24"/>
              </w:rPr>
              <w:t>20</w:t>
            </w:r>
            <w:r>
              <w:rPr>
                <w:rFonts w:ascii="仿宋_GB2312" w:hAnsi="仿宋_GB2312" w:hint="eastAsia"/>
                <w:sz w:val="24"/>
              </w:rPr>
              <w:t>吨馒头鲜面和日产</w:t>
            </w:r>
            <w:r>
              <w:rPr>
                <w:rFonts w:ascii="仿宋_GB2312" w:hAnsi="仿宋_GB2312" w:hint="eastAsia"/>
                <w:sz w:val="24"/>
              </w:rPr>
              <w:t>100</w:t>
            </w:r>
            <w:r>
              <w:rPr>
                <w:rFonts w:ascii="仿宋_GB2312" w:hAnsi="仿宋_GB2312" w:hint="eastAsia"/>
                <w:sz w:val="24"/>
              </w:rPr>
              <w:t>吨面粉小包装等生产线；浙江益海嘉里新建日产</w:t>
            </w:r>
            <w:r>
              <w:rPr>
                <w:rFonts w:ascii="仿宋_GB2312" w:hAnsi="仿宋_GB2312" w:hint="eastAsia"/>
                <w:sz w:val="24"/>
              </w:rPr>
              <w:t>1000</w:t>
            </w:r>
            <w:r>
              <w:rPr>
                <w:rFonts w:ascii="仿宋_GB2312" w:hAnsi="仿宋_GB2312" w:hint="eastAsia"/>
                <w:sz w:val="24"/>
              </w:rPr>
              <w:t>吨面粉智能生产项目；富义仓新增储加收综合项目；桐庐县飞龙工贸公司提升日产</w:t>
            </w:r>
            <w:r>
              <w:rPr>
                <w:rFonts w:ascii="仿宋_GB2312" w:hAnsi="仿宋_GB2312" w:hint="eastAsia"/>
                <w:sz w:val="24"/>
              </w:rPr>
              <w:t>50</w:t>
            </w:r>
            <w:r>
              <w:rPr>
                <w:rFonts w:ascii="仿宋_GB2312" w:hAnsi="仿宋_GB2312" w:hint="eastAsia"/>
                <w:sz w:val="24"/>
              </w:rPr>
              <w:t>吨大米加工生产设备。</w:t>
            </w:r>
          </w:p>
        </w:tc>
      </w:tr>
      <w:tr w:rsidR="00CD2EF2">
        <w:trPr>
          <w:trHeight w:val="1273"/>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重点粮食批发市场</w:t>
            </w:r>
          </w:p>
          <w:p w:rsidR="00CD2EF2" w:rsidRDefault="003F5178">
            <w:pPr>
              <w:jc w:val="center"/>
              <w:rPr>
                <w:rFonts w:ascii="仿宋_GB2312" w:hAnsi="仿宋_GB2312"/>
                <w:sz w:val="24"/>
              </w:rPr>
            </w:pPr>
            <w:r>
              <w:rPr>
                <w:rFonts w:ascii="仿宋_GB2312" w:hAnsi="仿宋_GB2312" w:hint="eastAsia"/>
                <w:sz w:val="24"/>
              </w:rPr>
              <w:t>升级改造工程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国家粮食浙江交易中心计划投资</w:t>
            </w:r>
            <w:r>
              <w:rPr>
                <w:rFonts w:ascii="仿宋_GB2312" w:hAnsi="仿宋_GB2312" w:hint="eastAsia"/>
                <w:sz w:val="24"/>
              </w:rPr>
              <w:t>2690</w:t>
            </w:r>
            <w:r>
              <w:rPr>
                <w:rFonts w:ascii="仿宋_GB2312" w:hAnsi="仿宋_GB2312" w:hint="eastAsia"/>
                <w:sz w:val="24"/>
              </w:rPr>
              <w:t>万元，用于应急保供总仓</w:t>
            </w:r>
            <w:r>
              <w:rPr>
                <w:rFonts w:hint="eastAsia"/>
                <w:sz w:val="24"/>
              </w:rPr>
              <w:t>、市场基础设施改造、市场智能粮食交易平台、市场检验中心改造及设备</w:t>
            </w:r>
            <w:r>
              <w:rPr>
                <w:rFonts w:ascii="仿宋_GB2312" w:hAnsi="仿宋_GB2312" w:hint="eastAsia"/>
                <w:sz w:val="24"/>
              </w:rPr>
              <w:t>升级、成品粮市场规范化建设等项目。</w:t>
            </w:r>
          </w:p>
        </w:tc>
      </w:tr>
      <w:tr w:rsidR="00CD2EF2">
        <w:trPr>
          <w:trHeight w:val="872"/>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物资储备建设工程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全市拟新增应急物资储备库面积近</w:t>
            </w:r>
            <w:r>
              <w:rPr>
                <w:rFonts w:ascii="仿宋_GB2312" w:hAnsi="仿宋_GB2312" w:hint="eastAsia"/>
                <w:sz w:val="24"/>
              </w:rPr>
              <w:t>2</w:t>
            </w:r>
            <w:r>
              <w:rPr>
                <w:rFonts w:ascii="仿宋_GB2312" w:hAnsi="仿宋_GB2312" w:hint="eastAsia"/>
                <w:sz w:val="24"/>
              </w:rPr>
              <w:t>万</w:t>
            </w:r>
            <w:r>
              <w:rPr>
                <w:rFonts w:ascii="仿宋_GB2312" w:hAnsi="仿宋_GB2312" w:hint="eastAsia"/>
                <w:sz w:val="24"/>
              </w:rPr>
              <w:t>平方米。</w:t>
            </w:r>
            <w:r>
              <w:rPr>
                <w:rFonts w:ascii="仿宋_GB2312" w:hAnsi="仿宋_GB2312" w:hint="eastAsia"/>
                <w:sz w:val="24"/>
              </w:rPr>
              <w:t xml:space="preserve"> </w:t>
            </w:r>
          </w:p>
        </w:tc>
      </w:tr>
      <w:tr w:rsidR="00CD2EF2">
        <w:trPr>
          <w:trHeight w:val="1785"/>
          <w:jc w:val="center"/>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jc w:val="center"/>
              <w:rPr>
                <w:rFonts w:ascii="仿宋_GB2312" w:hAnsi="仿宋_GB2312"/>
                <w:sz w:val="24"/>
              </w:rPr>
            </w:pPr>
            <w:r>
              <w:rPr>
                <w:rFonts w:ascii="仿宋_GB2312" w:hAnsi="仿宋_GB2312" w:hint="eastAsia"/>
                <w:sz w:val="24"/>
              </w:rPr>
              <w:t>国有保供企业网点</w:t>
            </w:r>
          </w:p>
          <w:p w:rsidR="00CD2EF2" w:rsidRDefault="003F5178">
            <w:pPr>
              <w:jc w:val="center"/>
              <w:rPr>
                <w:rFonts w:ascii="仿宋_GB2312" w:hAnsi="仿宋_GB2312"/>
                <w:sz w:val="24"/>
              </w:rPr>
            </w:pPr>
            <w:r>
              <w:rPr>
                <w:rFonts w:ascii="仿宋_GB2312" w:hAnsi="仿宋_GB2312" w:hint="eastAsia"/>
                <w:sz w:val="24"/>
              </w:rPr>
              <w:t>优化工程</w:t>
            </w:r>
          </w:p>
        </w:tc>
        <w:tc>
          <w:tcPr>
            <w:tcW w:w="6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2EF2" w:rsidRDefault="003F5178">
            <w:pPr>
              <w:snapToGrid w:val="0"/>
              <w:spacing w:line="288" w:lineRule="auto"/>
              <w:rPr>
                <w:rFonts w:ascii="仿宋_GB2312" w:hAnsi="仿宋_GB2312"/>
                <w:sz w:val="24"/>
              </w:rPr>
            </w:pPr>
            <w:r>
              <w:rPr>
                <w:rFonts w:ascii="仿宋_GB2312" w:hAnsi="仿宋_GB2312" w:hint="eastAsia"/>
                <w:sz w:val="24"/>
              </w:rPr>
              <w:t>不断优化保供网点布局，结合市、区级商业中心、交通枢纽交汇点设置等情况，发挥</w:t>
            </w:r>
            <w:r>
              <w:rPr>
                <w:rFonts w:ascii="仿宋_GB2312" w:hAnsi="仿宋_GB2312" w:hint="eastAsia"/>
                <w:sz w:val="24"/>
              </w:rPr>
              <w:t>国有企业保供“主力军”作用，优化国有保供企业网点布局，支持国有大型商</w:t>
            </w:r>
            <w:proofErr w:type="gramStart"/>
            <w:r>
              <w:rPr>
                <w:rFonts w:ascii="仿宋_GB2312" w:hAnsi="仿宋_GB2312" w:hint="eastAsia"/>
                <w:sz w:val="24"/>
              </w:rPr>
              <w:t>超设立</w:t>
            </w:r>
            <w:proofErr w:type="gramEnd"/>
            <w:r>
              <w:rPr>
                <w:rFonts w:ascii="仿宋_GB2312" w:hAnsi="仿宋_GB2312" w:hint="eastAsia"/>
                <w:sz w:val="24"/>
              </w:rPr>
              <w:t>应急保供专用网点，进一步扩大覆盖面积和服务人口。</w:t>
            </w:r>
          </w:p>
        </w:tc>
      </w:tr>
    </w:tbl>
    <w:p w:rsidR="00CD2EF2" w:rsidRDefault="003F5178" w:rsidP="00BA1400">
      <w:pPr>
        <w:adjustRightInd w:val="0"/>
        <w:snapToGrid w:val="0"/>
        <w:spacing w:beforeLines="50" w:before="295" w:line="336" w:lineRule="auto"/>
        <w:ind w:firstLineChars="200" w:firstLine="628"/>
        <w:outlineLvl w:val="0"/>
        <w:rPr>
          <w:rFonts w:eastAsia="黑体"/>
        </w:rPr>
      </w:pPr>
      <w:bookmarkStart w:id="240" w:name="_Toc1509"/>
      <w:bookmarkStart w:id="241" w:name="_Toc10486"/>
      <w:bookmarkStart w:id="242" w:name="_Toc18325"/>
      <w:bookmarkStart w:id="243" w:name="_Toc22941"/>
      <w:bookmarkStart w:id="244" w:name="_Toc6187"/>
      <w:bookmarkStart w:id="245" w:name="_Toc25541"/>
      <w:bookmarkStart w:id="246" w:name="_Toc1705"/>
      <w:bookmarkStart w:id="247" w:name="_Toc21652"/>
      <w:bookmarkStart w:id="248" w:name="_Toc29770"/>
      <w:bookmarkStart w:id="249" w:name="_Toc16536"/>
      <w:bookmarkStart w:id="250" w:name="_Toc21660"/>
      <w:r>
        <w:rPr>
          <w:rFonts w:eastAsia="黑体" w:hint="eastAsia"/>
        </w:rPr>
        <w:lastRenderedPageBreak/>
        <w:t>五、保障措施</w:t>
      </w:r>
      <w:bookmarkEnd w:id="240"/>
      <w:bookmarkEnd w:id="241"/>
      <w:bookmarkEnd w:id="242"/>
      <w:bookmarkEnd w:id="243"/>
      <w:bookmarkEnd w:id="244"/>
      <w:bookmarkEnd w:id="245"/>
      <w:bookmarkEnd w:id="246"/>
      <w:bookmarkEnd w:id="247"/>
      <w:bookmarkEnd w:id="248"/>
      <w:bookmarkEnd w:id="249"/>
      <w:bookmarkEnd w:id="250"/>
    </w:p>
    <w:p w:rsidR="00CD2EF2" w:rsidRDefault="003F5178" w:rsidP="00BA1400">
      <w:pPr>
        <w:adjustRightInd w:val="0"/>
        <w:snapToGrid w:val="0"/>
        <w:spacing w:line="336" w:lineRule="auto"/>
        <w:ind w:firstLineChars="200" w:firstLine="628"/>
        <w:outlineLvl w:val="1"/>
        <w:rPr>
          <w:rFonts w:ascii="楷体_GB2312" w:eastAsia="楷体_GB2312" w:hAnsi="楷体_GB2312"/>
        </w:rPr>
      </w:pPr>
      <w:bookmarkStart w:id="251" w:name="_Toc25665"/>
      <w:bookmarkStart w:id="252" w:name="_Toc24887"/>
      <w:bookmarkStart w:id="253" w:name="_Toc9517"/>
      <w:bookmarkStart w:id="254" w:name="_Toc23973"/>
      <w:bookmarkStart w:id="255" w:name="_Toc31821"/>
      <w:bookmarkStart w:id="256" w:name="_Toc25818"/>
      <w:bookmarkStart w:id="257" w:name="_Toc26936"/>
      <w:bookmarkStart w:id="258" w:name="_Toc18731"/>
      <w:bookmarkStart w:id="259" w:name="_Toc6580"/>
      <w:bookmarkStart w:id="260" w:name="_Toc23746"/>
      <w:bookmarkStart w:id="261" w:name="_Toc15313"/>
      <w:bookmarkStart w:id="262" w:name="_Toc464202795"/>
      <w:r>
        <w:rPr>
          <w:rFonts w:ascii="楷体_GB2312" w:eastAsia="楷体_GB2312" w:hAnsi="楷体_GB2312" w:hint="eastAsia"/>
        </w:rPr>
        <w:t>（一）全面加强党的领导，健全规划任务落实机制</w:t>
      </w:r>
      <w:bookmarkEnd w:id="251"/>
      <w:bookmarkEnd w:id="252"/>
      <w:bookmarkEnd w:id="253"/>
      <w:bookmarkEnd w:id="254"/>
      <w:bookmarkEnd w:id="255"/>
      <w:bookmarkEnd w:id="256"/>
      <w:bookmarkEnd w:id="257"/>
      <w:bookmarkEnd w:id="258"/>
      <w:bookmarkEnd w:id="259"/>
      <w:bookmarkEnd w:id="260"/>
      <w:bookmarkEnd w:id="261"/>
      <w:r>
        <w:rPr>
          <w:rFonts w:ascii="楷体_GB2312" w:eastAsia="楷体_GB2312" w:hAnsi="楷体_GB2312" w:hint="eastAsia"/>
        </w:rPr>
        <w:t>。</w:t>
      </w:r>
    </w:p>
    <w:p w:rsidR="00CD2EF2" w:rsidRDefault="003F5178" w:rsidP="00BA1400">
      <w:pPr>
        <w:adjustRightInd w:val="0"/>
        <w:snapToGrid w:val="0"/>
        <w:spacing w:line="336" w:lineRule="auto"/>
        <w:ind w:firstLineChars="200" w:firstLine="628"/>
      </w:pPr>
      <w:r>
        <w:rPr>
          <w:rFonts w:hint="eastAsia"/>
        </w:rPr>
        <w:t>充分发挥商务系统各级党委（党组）领导核心作用，落实全面从严治党主体责任，完善党委（党组）研究商务发展战略、分析经济形势、研究重大方针政策的工作体制机制，以高质量党的建设引领和推动商务高质量发展。完善商务工作统筹协调机制，推动形成分工协作、信息共享、监测联动的商务发展合力。实施领导联系重大项目制，落实分类分级协调制度，切实推动重大项目落地实施。加强规划指标、政策措施和重大项目实施情况的跟踪监测，完善规划实施监测评估机制，及时发现解决规划实施中的问题，确保规划目标任务顺利完成。</w:t>
      </w:r>
    </w:p>
    <w:p w:rsidR="00CD2EF2" w:rsidRDefault="003F5178" w:rsidP="00BA1400">
      <w:pPr>
        <w:adjustRightInd w:val="0"/>
        <w:snapToGrid w:val="0"/>
        <w:spacing w:line="336" w:lineRule="auto"/>
        <w:ind w:firstLineChars="200" w:firstLine="628"/>
        <w:outlineLvl w:val="1"/>
        <w:rPr>
          <w:rFonts w:ascii="楷体_GB2312" w:eastAsia="楷体_GB2312" w:hAnsi="楷体_GB2312"/>
        </w:rPr>
      </w:pPr>
      <w:bookmarkStart w:id="263" w:name="_Toc19219"/>
      <w:bookmarkStart w:id="264" w:name="_Toc861"/>
      <w:bookmarkStart w:id="265" w:name="_Toc18546"/>
      <w:bookmarkStart w:id="266" w:name="_Toc624"/>
      <w:bookmarkStart w:id="267" w:name="_Toc665"/>
      <w:bookmarkStart w:id="268" w:name="_Toc20701"/>
      <w:bookmarkStart w:id="269" w:name="_Toc2994"/>
      <w:bookmarkStart w:id="270" w:name="_Toc14997"/>
      <w:bookmarkStart w:id="271" w:name="_Toc19942"/>
      <w:bookmarkStart w:id="272" w:name="_Toc31211"/>
      <w:bookmarkStart w:id="273" w:name="_Toc24660"/>
      <w:r>
        <w:rPr>
          <w:rFonts w:ascii="楷体_GB2312" w:eastAsia="楷体_GB2312" w:hAnsi="楷体_GB2312" w:hint="eastAsia"/>
        </w:rPr>
        <w:t>（二）完善政策支撑体系，强化商务</w:t>
      </w:r>
      <w:r>
        <w:rPr>
          <w:rFonts w:ascii="楷体_GB2312" w:eastAsia="楷体_GB2312" w:hAnsi="楷体_GB2312" w:hint="eastAsia"/>
        </w:rPr>
        <w:t>发展要素保障</w:t>
      </w:r>
      <w:bookmarkEnd w:id="263"/>
      <w:bookmarkEnd w:id="264"/>
      <w:bookmarkEnd w:id="265"/>
      <w:bookmarkEnd w:id="266"/>
      <w:bookmarkEnd w:id="267"/>
      <w:bookmarkEnd w:id="268"/>
      <w:bookmarkEnd w:id="269"/>
      <w:bookmarkEnd w:id="270"/>
      <w:bookmarkEnd w:id="271"/>
      <w:bookmarkEnd w:id="272"/>
      <w:bookmarkEnd w:id="273"/>
      <w:r>
        <w:rPr>
          <w:rFonts w:ascii="楷体_GB2312" w:eastAsia="楷体_GB2312" w:hAnsi="楷体_GB2312" w:hint="eastAsia"/>
        </w:rPr>
        <w:t>。</w:t>
      </w:r>
    </w:p>
    <w:p w:rsidR="00CD2EF2" w:rsidRDefault="003F5178" w:rsidP="00BA1400">
      <w:pPr>
        <w:adjustRightInd w:val="0"/>
        <w:snapToGrid w:val="0"/>
        <w:spacing w:line="336" w:lineRule="auto"/>
        <w:ind w:firstLineChars="200" w:firstLine="628"/>
      </w:pPr>
      <w:r>
        <w:rPr>
          <w:rFonts w:hint="eastAsia"/>
        </w:rPr>
        <w:t>加强土地、财税、金融、人才等政策整合。健全用地管理机制，优先保证集聚平台、重大项目用地。用足用好各类专项资金及政策，充分</w:t>
      </w:r>
      <w:proofErr w:type="gramStart"/>
      <w:r>
        <w:rPr>
          <w:rFonts w:hint="eastAsia"/>
        </w:rPr>
        <w:t>发挥自</w:t>
      </w:r>
      <w:proofErr w:type="gramEnd"/>
      <w:r>
        <w:rPr>
          <w:rFonts w:hint="eastAsia"/>
        </w:rPr>
        <w:t>贸试验区、全面深化服务贸易创新发展试点等示范政策效应。积极利用政府产业基金，支持数字贸易发展。深化发展“杭信贷”融资业务，通过开展供应链融资、知识产权质押融资等业务，加大对贸易企业融资支持力度。推进产学研联合培养机制，完善商务人才“政府引导、机构主导、企业支持”的培训体系，强化商贸流通、国际贸易、境外投资等商务各领域党政人才、企业经营管理人才、专业技术人才、高技能人才</w:t>
      </w:r>
      <w:r>
        <w:rPr>
          <w:rFonts w:hint="eastAsia"/>
        </w:rPr>
        <w:t>等各类人才队伍建设。</w:t>
      </w:r>
    </w:p>
    <w:p w:rsidR="00CD2EF2" w:rsidRDefault="003F5178" w:rsidP="00BA1400">
      <w:pPr>
        <w:adjustRightInd w:val="0"/>
        <w:snapToGrid w:val="0"/>
        <w:spacing w:line="336" w:lineRule="auto"/>
        <w:ind w:firstLineChars="200" w:firstLine="628"/>
        <w:outlineLvl w:val="1"/>
        <w:rPr>
          <w:rFonts w:ascii="楷体_GB2312" w:eastAsia="楷体_GB2312" w:hAnsi="楷体_GB2312"/>
        </w:rPr>
      </w:pPr>
      <w:bookmarkStart w:id="274" w:name="_Toc365"/>
      <w:bookmarkStart w:id="275" w:name="_Toc31476"/>
      <w:bookmarkStart w:id="276" w:name="_Toc20490"/>
      <w:bookmarkStart w:id="277" w:name="_Toc9734"/>
      <w:bookmarkStart w:id="278" w:name="_Toc22478"/>
      <w:bookmarkStart w:id="279" w:name="_Toc13476"/>
      <w:bookmarkStart w:id="280" w:name="_Toc4691"/>
      <w:bookmarkStart w:id="281" w:name="_Toc4317"/>
      <w:bookmarkStart w:id="282" w:name="_Toc9360"/>
      <w:bookmarkStart w:id="283" w:name="_Toc15574"/>
      <w:bookmarkStart w:id="284" w:name="_Toc3252"/>
      <w:r>
        <w:rPr>
          <w:rFonts w:ascii="楷体_GB2312" w:eastAsia="楷体_GB2312" w:hAnsi="楷体_GB2312" w:hint="eastAsia"/>
        </w:rPr>
        <w:lastRenderedPageBreak/>
        <w:t>（三）完善商务治理体系，增强风险防范化解能力</w:t>
      </w:r>
      <w:bookmarkEnd w:id="274"/>
      <w:bookmarkEnd w:id="275"/>
      <w:bookmarkEnd w:id="276"/>
      <w:bookmarkEnd w:id="277"/>
      <w:bookmarkEnd w:id="278"/>
      <w:bookmarkEnd w:id="279"/>
      <w:bookmarkEnd w:id="280"/>
      <w:bookmarkEnd w:id="281"/>
      <w:bookmarkEnd w:id="282"/>
      <w:bookmarkEnd w:id="283"/>
      <w:bookmarkEnd w:id="284"/>
      <w:r>
        <w:rPr>
          <w:rFonts w:ascii="楷体_GB2312" w:eastAsia="楷体_GB2312" w:hAnsi="楷体_GB2312" w:hint="eastAsia"/>
        </w:rPr>
        <w:t>。</w:t>
      </w:r>
    </w:p>
    <w:p w:rsidR="00CD2EF2" w:rsidRDefault="003F5178" w:rsidP="00BA1400">
      <w:pPr>
        <w:adjustRightInd w:val="0"/>
        <w:snapToGrid w:val="0"/>
        <w:spacing w:line="336" w:lineRule="auto"/>
        <w:ind w:firstLineChars="200" w:firstLine="628"/>
      </w:pPr>
      <w:r>
        <w:rPr>
          <w:rFonts w:hint="eastAsia"/>
        </w:rPr>
        <w:t>完善市场监管体系和商务运行监测分析体系，完善</w:t>
      </w:r>
      <w:r>
        <w:rPr>
          <w:rFonts w:ascii="仿宋_GB2312" w:hAnsi="仿宋_GB2312" w:hint="eastAsia"/>
        </w:rPr>
        <w:t>消费新模式新业态、社会消费品零售总额等统计方法，加强市场运行监测和信息引导，增强市场调控、应急保供的精准性和有效性。探索完善家政服务质量认证评价体系。强化“订单</w:t>
      </w:r>
      <w:r>
        <w:rPr>
          <w:rFonts w:ascii="仿宋_GB2312" w:hAnsi="仿宋_GB2312" w:hint="eastAsia"/>
        </w:rPr>
        <w:t>+</w:t>
      </w:r>
      <w:r>
        <w:rPr>
          <w:rFonts w:ascii="仿宋_GB2312" w:hAnsi="仿宋_GB2312" w:hint="eastAsia"/>
        </w:rPr>
        <w:t>清单”预警监测系统运用，探索数字服务贸易统计制度和方法。完善产业安全预警机制，建立“走出去”风险防控体系，加强对贸易投资的监测。健全贸易摩擦四体联动应对工作机制，指导企业做好贸易摩擦应对工作。强化</w:t>
      </w:r>
      <w:proofErr w:type="gramStart"/>
      <w:r>
        <w:rPr>
          <w:rFonts w:ascii="仿宋_GB2312" w:hAnsi="仿宋_GB2312" w:hint="eastAsia"/>
        </w:rPr>
        <w:t>中信保资信</w:t>
      </w:r>
      <w:proofErr w:type="gramEnd"/>
      <w:r>
        <w:rPr>
          <w:rFonts w:ascii="仿宋_GB2312" w:hAnsi="仿宋_GB2312" w:hint="eastAsia"/>
        </w:rPr>
        <w:t>服务，定期梳理和发布海外风险信</w:t>
      </w:r>
      <w:r>
        <w:rPr>
          <w:rFonts w:ascii="仿宋_GB2312" w:hAnsi="仿宋_GB2312" w:hint="eastAsia"/>
        </w:rPr>
        <w:t>息，优化小</w:t>
      </w:r>
      <w:proofErr w:type="gramStart"/>
      <w:r>
        <w:rPr>
          <w:rFonts w:ascii="仿宋_GB2312" w:hAnsi="仿宋_GB2312" w:hint="eastAsia"/>
        </w:rPr>
        <w:t>微企业</w:t>
      </w:r>
      <w:proofErr w:type="gramEnd"/>
      <w:r>
        <w:rPr>
          <w:rFonts w:ascii="仿宋_GB2312" w:hAnsi="仿宋_GB2312" w:hint="eastAsia"/>
        </w:rPr>
        <w:t>报损、理赔服务机制。加大对流通领域特种行业的监管力度，加强成品油监管，健全典当、拍卖、二手车、报废汽车回收等行业监测监管制度。</w:t>
      </w:r>
    </w:p>
    <w:p w:rsidR="00CD2EF2" w:rsidRDefault="003F5178" w:rsidP="00BA1400">
      <w:pPr>
        <w:adjustRightInd w:val="0"/>
        <w:snapToGrid w:val="0"/>
        <w:spacing w:line="336" w:lineRule="auto"/>
        <w:ind w:firstLineChars="200" w:firstLine="628"/>
        <w:outlineLvl w:val="1"/>
        <w:rPr>
          <w:rFonts w:ascii="楷体_GB2312" w:eastAsia="楷体_GB2312" w:hAnsi="楷体_GB2312"/>
        </w:rPr>
      </w:pPr>
      <w:bookmarkStart w:id="285" w:name="_Toc24980"/>
      <w:bookmarkStart w:id="286" w:name="_Toc26829"/>
      <w:bookmarkStart w:id="287" w:name="_Toc11357"/>
      <w:bookmarkStart w:id="288" w:name="_Toc26380"/>
      <w:bookmarkStart w:id="289" w:name="_Toc31667"/>
      <w:bookmarkStart w:id="290" w:name="_Toc11942"/>
      <w:bookmarkStart w:id="291" w:name="_Toc3109"/>
      <w:bookmarkStart w:id="292" w:name="_Toc28095"/>
      <w:bookmarkStart w:id="293" w:name="_Toc6427"/>
      <w:bookmarkStart w:id="294" w:name="_Toc17394"/>
      <w:bookmarkStart w:id="295" w:name="_Toc6452"/>
      <w:r>
        <w:rPr>
          <w:rFonts w:ascii="楷体_GB2312" w:eastAsia="楷体_GB2312" w:hAnsi="楷体_GB2312" w:hint="eastAsia"/>
        </w:rPr>
        <w:t>（四）持续改善营商环境，强化商务发展服务保障</w:t>
      </w:r>
      <w:bookmarkEnd w:id="285"/>
      <w:bookmarkEnd w:id="286"/>
      <w:bookmarkEnd w:id="287"/>
      <w:bookmarkEnd w:id="288"/>
      <w:bookmarkEnd w:id="289"/>
      <w:bookmarkEnd w:id="290"/>
      <w:bookmarkEnd w:id="291"/>
      <w:bookmarkEnd w:id="292"/>
      <w:bookmarkEnd w:id="293"/>
      <w:bookmarkEnd w:id="294"/>
      <w:bookmarkEnd w:id="295"/>
      <w:r>
        <w:rPr>
          <w:rFonts w:ascii="楷体_GB2312" w:eastAsia="楷体_GB2312" w:hAnsi="楷体_GB2312" w:hint="eastAsia"/>
        </w:rPr>
        <w:t>。</w:t>
      </w:r>
    </w:p>
    <w:p w:rsidR="00CD2EF2" w:rsidRDefault="003F5178" w:rsidP="00BA1400">
      <w:pPr>
        <w:pStyle w:val="a9"/>
        <w:adjustRightInd w:val="0"/>
        <w:snapToGrid w:val="0"/>
        <w:spacing w:after="0" w:line="336" w:lineRule="auto"/>
        <w:ind w:leftChars="0" w:left="0" w:firstLineChars="200" w:firstLine="628"/>
        <w:rPr>
          <w:rFonts w:ascii="仿宋_GB2312" w:eastAsia="仿宋_GB2312" w:hAnsi="仿宋_GB2312"/>
          <w:spacing w:val="-6"/>
          <w:sz w:val="32"/>
        </w:rPr>
      </w:pPr>
      <w:r>
        <w:rPr>
          <w:rFonts w:ascii="仿宋_GB2312" w:eastAsia="仿宋_GB2312" w:hAnsi="仿宋_GB2312" w:hint="eastAsia"/>
          <w:spacing w:val="-6"/>
          <w:sz w:val="32"/>
        </w:rPr>
        <w:t>适应对外开放不断深化的形势，全面对接国际贸易投资规则，打造透明、稳定、健全、公平一致、可预期的法规规章制度体系，以保护产权、维护契约、统一市场、平等交换、公平竞争、有效监管为基本导向，深入推进依法行政。持续深化“最多跑一次”改革，推动商务领域办事事项“最多跑一次”</w:t>
      </w:r>
      <w:r>
        <w:rPr>
          <w:rFonts w:ascii="仿宋_GB2312" w:eastAsia="仿宋_GB2312" w:hAnsi="仿宋_GB2312" w:hint="eastAsia"/>
          <w:spacing w:val="-6"/>
          <w:sz w:val="32"/>
        </w:rPr>
        <w:t>100%</w:t>
      </w:r>
      <w:r>
        <w:rPr>
          <w:rFonts w:ascii="仿宋_GB2312" w:eastAsia="仿宋_GB2312" w:hAnsi="仿宋_GB2312" w:hint="eastAsia"/>
          <w:spacing w:val="-6"/>
          <w:sz w:val="32"/>
        </w:rPr>
        <w:t>全覆盖</w:t>
      </w:r>
      <w:r>
        <w:rPr>
          <w:rFonts w:ascii="仿宋_GB2312" w:eastAsia="仿宋_GB2312" w:hAnsi="仿宋_GB2312" w:hint="eastAsia"/>
          <w:spacing w:val="-6"/>
          <w:sz w:val="32"/>
        </w:rPr>
        <w:t>、</w:t>
      </w:r>
      <w:r>
        <w:rPr>
          <w:rFonts w:ascii="仿宋_GB2312" w:eastAsia="仿宋_GB2312" w:hAnsi="仿宋_GB2312" w:hint="eastAsia"/>
          <w:spacing w:val="-6"/>
          <w:sz w:val="32"/>
        </w:rPr>
        <w:t>办事数据</w:t>
      </w:r>
      <w:r>
        <w:rPr>
          <w:rFonts w:ascii="仿宋_GB2312" w:eastAsia="仿宋_GB2312" w:hAnsi="仿宋_GB2312" w:hint="eastAsia"/>
          <w:spacing w:val="-6"/>
          <w:sz w:val="32"/>
        </w:rPr>
        <w:t>100%</w:t>
      </w:r>
      <w:r>
        <w:rPr>
          <w:rFonts w:ascii="仿宋_GB2312" w:eastAsia="仿宋_GB2312" w:hAnsi="仿宋_GB2312" w:hint="eastAsia"/>
          <w:spacing w:val="-6"/>
          <w:sz w:val="32"/>
        </w:rPr>
        <w:t>全覆盖。制定数据开放计划</w:t>
      </w:r>
      <w:r>
        <w:rPr>
          <w:rFonts w:ascii="仿宋_GB2312" w:eastAsia="仿宋_GB2312" w:hAnsi="仿宋_GB2312" w:hint="eastAsia"/>
          <w:spacing w:val="-6"/>
          <w:sz w:val="32"/>
        </w:rPr>
        <w:t>，优先将与民生紧密相关、社会迫切需要、行业增值潜力显著的商务数据纳入开放清单。推广“证照分离”等商事制度改革。建立和完善重点外贸外资企业联系服务机制，发挥贸促机构、行业商（协）会作用，提升公共</w:t>
      </w:r>
      <w:r>
        <w:rPr>
          <w:rFonts w:ascii="仿宋_GB2312" w:eastAsia="仿宋_GB2312" w:hAnsi="仿宋_GB2312" w:hint="eastAsia"/>
          <w:spacing w:val="-6"/>
          <w:sz w:val="32"/>
        </w:rPr>
        <w:lastRenderedPageBreak/>
        <w:t>服务水平。健全权责明晰、结构优化、管理科学、运转高效、保障有力的粮食和物资储备管理体制机制，提升应急保障和防范风险能力。</w:t>
      </w:r>
      <w:bookmarkEnd w:id="262"/>
    </w:p>
    <w:p w:rsidR="00CD2EF2" w:rsidRDefault="00CD2EF2" w:rsidP="00BA1400">
      <w:pPr>
        <w:adjustRightInd w:val="0"/>
        <w:snapToGrid w:val="0"/>
        <w:spacing w:line="336" w:lineRule="auto"/>
        <w:ind w:firstLineChars="200" w:firstLine="652"/>
        <w:rPr>
          <w:rFonts w:ascii="仿宋_GB2312" w:hAnsi="仿宋_GB2312"/>
          <w:spacing w:val="0"/>
          <w:kern w:val="0"/>
        </w:rPr>
      </w:pPr>
    </w:p>
    <w:tbl>
      <w:tblPr>
        <w:tblpPr w:leftFromText="181" w:rightFromText="181" w:horzAnchor="margin" w:tblpXSpec="center" w:tblpYSpec="bottom"/>
        <w:tblOverlap w:val="never"/>
        <w:tblW w:w="8844" w:type="dxa"/>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1240"/>
        <w:gridCol w:w="3168"/>
        <w:gridCol w:w="4436"/>
      </w:tblGrid>
      <w:tr w:rsidR="00CD2EF2">
        <w:trPr>
          <w:trHeight w:val="425"/>
          <w:jc w:val="center"/>
        </w:trPr>
        <w:tc>
          <w:tcPr>
            <w:tcW w:w="1240" w:type="dxa"/>
            <w:tcBorders>
              <w:top w:val="single" w:sz="8" w:space="0" w:color="auto"/>
              <w:bottom w:val="single" w:sz="4" w:space="0" w:color="auto"/>
            </w:tcBorders>
            <w:tcMar>
              <w:top w:w="0" w:type="dxa"/>
              <w:left w:w="108" w:type="dxa"/>
              <w:bottom w:w="0" w:type="dxa"/>
              <w:right w:w="0" w:type="dxa"/>
            </w:tcMar>
          </w:tcPr>
          <w:p w:rsidR="00CD2EF2" w:rsidRDefault="00CD2EF2" w:rsidP="00BA1400">
            <w:pPr>
              <w:autoSpaceDN w:val="0"/>
              <w:spacing w:line="240" w:lineRule="auto"/>
              <w:ind w:firstLineChars="100" w:firstLine="274"/>
              <w:jc w:val="right"/>
              <w:rPr>
                <w:rFonts w:ascii="仿宋_GB2312" w:hAnsi="仿宋_GB2312"/>
                <w:sz w:val="28"/>
              </w:rPr>
            </w:pPr>
          </w:p>
        </w:tc>
        <w:tc>
          <w:tcPr>
            <w:tcW w:w="7604" w:type="dxa"/>
            <w:gridSpan w:val="2"/>
            <w:tcBorders>
              <w:top w:val="single" w:sz="8" w:space="0" w:color="auto"/>
              <w:bottom w:val="single" w:sz="4" w:space="0" w:color="auto"/>
            </w:tcBorders>
            <w:tcMar>
              <w:top w:w="0" w:type="dxa"/>
              <w:left w:w="0" w:type="dxa"/>
              <w:bottom w:w="0" w:type="dxa"/>
              <w:right w:w="108" w:type="dxa"/>
            </w:tcMar>
            <w:vAlign w:val="center"/>
          </w:tcPr>
          <w:p w:rsidR="00CD2EF2" w:rsidRDefault="00CD2EF2" w:rsidP="00BA1400">
            <w:pPr>
              <w:autoSpaceDN w:val="0"/>
              <w:spacing w:line="240" w:lineRule="auto"/>
              <w:ind w:rightChars="100" w:right="314"/>
              <w:rPr>
                <w:rFonts w:ascii="仿宋_GB2312" w:hAnsi="仿宋_GB2312"/>
                <w:sz w:val="28"/>
              </w:rPr>
            </w:pPr>
          </w:p>
        </w:tc>
      </w:tr>
      <w:tr w:rsidR="00CD2EF2">
        <w:trPr>
          <w:trHeight w:val="482"/>
          <w:jc w:val="center"/>
        </w:trPr>
        <w:tc>
          <w:tcPr>
            <w:tcW w:w="4408" w:type="dxa"/>
            <w:gridSpan w:val="2"/>
            <w:tcBorders>
              <w:top w:val="single" w:sz="4" w:space="0" w:color="auto"/>
              <w:bottom w:val="single" w:sz="8" w:space="0" w:color="auto"/>
            </w:tcBorders>
            <w:tcMar>
              <w:top w:w="0" w:type="dxa"/>
              <w:left w:w="108" w:type="dxa"/>
              <w:bottom w:w="0" w:type="dxa"/>
              <w:right w:w="108" w:type="dxa"/>
            </w:tcMar>
            <w:vAlign w:val="center"/>
          </w:tcPr>
          <w:p w:rsidR="00CD2EF2" w:rsidRDefault="00CD2EF2" w:rsidP="00BA1400">
            <w:pPr>
              <w:autoSpaceDN w:val="0"/>
              <w:spacing w:line="240" w:lineRule="auto"/>
              <w:ind w:leftChars="100" w:left="314"/>
              <w:jc w:val="left"/>
              <w:rPr>
                <w:rFonts w:ascii="仿宋_GB2312" w:hAnsi="仿宋_GB2312"/>
                <w:sz w:val="28"/>
              </w:rPr>
            </w:pPr>
          </w:p>
        </w:tc>
        <w:tc>
          <w:tcPr>
            <w:tcW w:w="4436" w:type="dxa"/>
            <w:tcBorders>
              <w:top w:val="single" w:sz="4" w:space="0" w:color="auto"/>
              <w:bottom w:val="single" w:sz="8" w:space="0" w:color="auto"/>
            </w:tcBorders>
            <w:tcMar>
              <w:top w:w="0" w:type="dxa"/>
              <w:left w:w="108" w:type="dxa"/>
              <w:bottom w:w="0" w:type="dxa"/>
              <w:right w:w="108" w:type="dxa"/>
            </w:tcMar>
            <w:vAlign w:val="center"/>
          </w:tcPr>
          <w:p w:rsidR="00CD2EF2" w:rsidRDefault="00CD2EF2" w:rsidP="00BA1400">
            <w:pPr>
              <w:autoSpaceDN w:val="0"/>
              <w:spacing w:line="240" w:lineRule="auto"/>
              <w:ind w:rightChars="100" w:right="314"/>
              <w:jc w:val="right"/>
              <w:rPr>
                <w:rFonts w:ascii="仿宋_GB2312" w:hAnsi="仿宋_GB2312"/>
                <w:sz w:val="28"/>
              </w:rPr>
            </w:pPr>
          </w:p>
        </w:tc>
      </w:tr>
      <w:tr w:rsidR="00CD2EF2">
        <w:trPr>
          <w:trHeight w:hRule="exact" w:val="79"/>
          <w:jc w:val="center"/>
        </w:trPr>
        <w:tc>
          <w:tcPr>
            <w:tcW w:w="4408" w:type="dxa"/>
            <w:gridSpan w:val="2"/>
            <w:tcBorders>
              <w:top w:val="single" w:sz="8" w:space="0" w:color="auto"/>
              <w:bottom w:val="nil"/>
            </w:tcBorders>
            <w:tcMar>
              <w:top w:w="0" w:type="dxa"/>
              <w:left w:w="108" w:type="dxa"/>
              <w:bottom w:w="0" w:type="dxa"/>
              <w:right w:w="108" w:type="dxa"/>
            </w:tcMar>
          </w:tcPr>
          <w:p w:rsidR="00CD2EF2" w:rsidRDefault="00CD2EF2">
            <w:pPr>
              <w:autoSpaceDN w:val="0"/>
              <w:spacing w:line="240" w:lineRule="auto"/>
              <w:jc w:val="left"/>
              <w:rPr>
                <w:rFonts w:ascii="仿宋_GB2312" w:hAnsi="仿宋_GB2312"/>
                <w:sz w:val="28"/>
              </w:rPr>
            </w:pPr>
          </w:p>
        </w:tc>
        <w:tc>
          <w:tcPr>
            <w:tcW w:w="4436" w:type="dxa"/>
            <w:tcBorders>
              <w:top w:val="single" w:sz="8" w:space="0" w:color="auto"/>
              <w:bottom w:val="nil"/>
            </w:tcBorders>
            <w:tcMar>
              <w:top w:w="0" w:type="dxa"/>
              <w:left w:w="108" w:type="dxa"/>
              <w:bottom w:w="0" w:type="dxa"/>
              <w:right w:w="108" w:type="dxa"/>
            </w:tcMar>
          </w:tcPr>
          <w:p w:rsidR="00CD2EF2" w:rsidRDefault="00CD2EF2" w:rsidP="00BA1400">
            <w:pPr>
              <w:autoSpaceDN w:val="0"/>
              <w:spacing w:line="240" w:lineRule="auto"/>
              <w:ind w:rightChars="100" w:right="314"/>
              <w:jc w:val="right"/>
              <w:rPr>
                <w:rFonts w:ascii="仿宋_GB2312" w:hAnsi="仿宋_GB2312"/>
                <w:sz w:val="28"/>
              </w:rPr>
            </w:pPr>
          </w:p>
        </w:tc>
      </w:tr>
    </w:tbl>
    <w:p w:rsidR="00CD2EF2" w:rsidRDefault="00CD2EF2" w:rsidP="00BA1400">
      <w:pPr>
        <w:autoSpaceDN w:val="0"/>
        <w:spacing w:line="240" w:lineRule="auto"/>
        <w:jc w:val="left"/>
        <w:rPr>
          <w:rFonts w:ascii="仿宋_GB2312" w:hAnsi="仿宋_GB2312"/>
          <w:sz w:val="28"/>
        </w:rPr>
      </w:pPr>
    </w:p>
    <w:sectPr w:rsidR="00CD2EF2">
      <w:headerReference w:type="default" r:id="rId9"/>
      <w:footerReference w:type="even" r:id="rId10"/>
      <w:footerReference w:type="default" r:id="rId11"/>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78" w:rsidRDefault="003F5178">
      <w:pPr>
        <w:spacing w:line="240" w:lineRule="auto"/>
      </w:pPr>
      <w:r>
        <w:separator/>
      </w:r>
    </w:p>
  </w:endnote>
  <w:endnote w:type="continuationSeparator" w:id="0">
    <w:p w:rsidR="003F5178" w:rsidRDefault="003F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2" w:rsidRDefault="003F5178" w:rsidP="00BA1400">
    <w:pPr>
      <w:pStyle w:val="ab"/>
      <w:spacing w:line="437" w:lineRule="auto"/>
      <w:ind w:leftChars="50" w:left="154"/>
      <w:jc w:val="left"/>
      <w:rPr>
        <w:rStyle w:val="af"/>
        <w:rFonts w:ascii="宋体" w:eastAsia="宋体" w:hAnsi="宋体"/>
        <w:sz w:val="28"/>
      </w:rPr>
    </w:pPr>
    <w:r>
      <w:rPr>
        <w:rStyle w:val="af"/>
        <w:rFonts w:ascii="宋体" w:eastAsia="宋体" w:hAnsi="宋体" w:hint="eastAsia"/>
        <w:sz w:val="28"/>
      </w:rPr>
      <w:t>—</w:t>
    </w:r>
    <w:r>
      <w:rPr>
        <w:rStyle w:val="af"/>
        <w:rFonts w:ascii="宋体" w:eastAsia="宋体" w:hAnsi="宋体" w:hint="eastAsia"/>
        <w:sz w:val="28"/>
      </w:rPr>
      <w:t xml:space="preserve"> </w:t>
    </w:r>
    <w:r>
      <w:rPr>
        <w:rFonts w:ascii="宋体" w:eastAsia="宋体" w:hAnsi="宋体" w:hint="eastAsia"/>
        <w:sz w:val="28"/>
      </w:rPr>
      <w:fldChar w:fldCharType="begin"/>
    </w:r>
    <w:r>
      <w:rPr>
        <w:rStyle w:val="af"/>
        <w:rFonts w:ascii="宋体" w:eastAsia="宋体" w:hAnsi="宋体" w:hint="eastAsia"/>
        <w:sz w:val="28"/>
      </w:rPr>
      <w:instrText xml:space="preserve"> PAGE </w:instrText>
    </w:r>
    <w:r>
      <w:rPr>
        <w:rFonts w:ascii="宋体" w:eastAsia="宋体" w:hAnsi="宋体" w:hint="eastAsia"/>
        <w:sz w:val="28"/>
      </w:rPr>
      <w:fldChar w:fldCharType="separate"/>
    </w:r>
    <w:r w:rsidR="00BA1400">
      <w:rPr>
        <w:rStyle w:val="af"/>
        <w:rFonts w:ascii="宋体" w:eastAsia="宋体" w:hAnsi="宋体"/>
        <w:noProof/>
        <w:sz w:val="28"/>
      </w:rPr>
      <w:t>2</w:t>
    </w:r>
    <w:r>
      <w:rPr>
        <w:rFonts w:ascii="宋体" w:eastAsia="宋体" w:hAnsi="宋体" w:hint="eastAsia"/>
        <w:sz w:val="28"/>
      </w:rPr>
      <w:fldChar w:fldCharType="end"/>
    </w:r>
    <w:r>
      <w:rPr>
        <w:rFonts w:ascii="宋体" w:eastAsia="宋体" w:hAnsi="宋体" w:hint="eastAsia"/>
        <w:sz w:val="28"/>
      </w:rPr>
      <w:t xml:space="preserve"> </w:t>
    </w:r>
    <w:r>
      <w:rPr>
        <w:rStyle w:val="af"/>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2" w:rsidRDefault="003F5178" w:rsidP="00BA1400">
    <w:pPr>
      <w:pStyle w:val="ab"/>
      <w:wordWrap w:val="0"/>
      <w:spacing w:line="440" w:lineRule="auto"/>
      <w:ind w:rightChars="100" w:right="308"/>
      <w:jc w:val="right"/>
      <w:rPr>
        <w:rFonts w:ascii="楷体_GB2312" w:eastAsia="楷体_GB2312" w:hAnsi="楷体_GB2312"/>
        <w:sz w:val="28"/>
      </w:rPr>
    </w:pPr>
    <w:r>
      <w:rPr>
        <w:rStyle w:val="af"/>
        <w:rFonts w:ascii="宋体" w:eastAsia="宋体" w:hAnsi="宋体" w:hint="eastAsia"/>
        <w:sz w:val="28"/>
      </w:rPr>
      <w:t>—</w:t>
    </w:r>
    <w:r>
      <w:rPr>
        <w:rStyle w:val="af"/>
        <w:rFonts w:ascii="宋体" w:eastAsia="宋体" w:hAnsi="宋体" w:hint="eastAsia"/>
        <w:sz w:val="28"/>
      </w:rPr>
      <w:t xml:space="preserve"> </w:t>
    </w:r>
    <w:r>
      <w:rPr>
        <w:rFonts w:ascii="宋体" w:eastAsia="宋体" w:hAnsi="宋体" w:hint="eastAsia"/>
        <w:sz w:val="28"/>
      </w:rPr>
      <w:fldChar w:fldCharType="begin"/>
    </w:r>
    <w:r>
      <w:rPr>
        <w:rStyle w:val="af"/>
        <w:rFonts w:ascii="宋体" w:eastAsia="宋体" w:hAnsi="宋体" w:hint="eastAsia"/>
        <w:sz w:val="28"/>
      </w:rPr>
      <w:instrText xml:space="preserve"> PAGE \* MERGEFORMAT </w:instrText>
    </w:r>
    <w:r>
      <w:rPr>
        <w:rFonts w:ascii="宋体" w:eastAsia="宋体" w:hAnsi="宋体" w:hint="eastAsia"/>
        <w:sz w:val="28"/>
      </w:rPr>
      <w:fldChar w:fldCharType="separate"/>
    </w:r>
    <w:r w:rsidR="00BA1400" w:rsidRPr="00BA1400">
      <w:rPr>
        <w:noProof/>
      </w:rPr>
      <w:t>1</w:t>
    </w:r>
    <w:r>
      <w:rPr>
        <w:rFonts w:ascii="宋体" w:eastAsia="宋体" w:hAnsi="宋体" w:hint="eastAsia"/>
        <w:sz w:val="28"/>
      </w:rPr>
      <w:fldChar w:fldCharType="end"/>
    </w:r>
    <w:r>
      <w:rPr>
        <w:rFonts w:ascii="宋体" w:eastAsia="宋体" w:hAnsi="宋体" w:hint="eastAsia"/>
        <w:sz w:val="28"/>
      </w:rPr>
      <w:t xml:space="preserve"> </w:t>
    </w:r>
    <w:r>
      <w:rPr>
        <w:rStyle w:val="af"/>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78" w:rsidRDefault="003F5178">
      <w:pPr>
        <w:spacing w:line="240" w:lineRule="auto"/>
      </w:pPr>
      <w:r>
        <w:separator/>
      </w:r>
    </w:p>
  </w:footnote>
  <w:footnote w:type="continuationSeparator" w:id="0">
    <w:p w:rsidR="003F5178" w:rsidRDefault="003F51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2" w:rsidRDefault="00CD2EF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1">
      <w:start w:val="1"/>
      <w:numFmt w:val="chineseCountingThousand"/>
      <w:pStyle w:val="a"/>
      <w:suff w:val="space"/>
      <w:lvlText w:val="第%1章"/>
      <w:lvlJc w:val="left"/>
      <w:pPr>
        <w:ind w:left="0" w:firstLine="454"/>
      </w:pPr>
      <w:rPr>
        <w:rFonts w:eastAsia="方正黑体_GBK" w:hAnsi="方正黑体_GBK" w:hint="eastAsia"/>
        <w:color w:val="auto"/>
      </w:rPr>
    </w:lvl>
    <w:lvl w:ilvl="1" w:tentative="1">
      <w:start w:val="1"/>
      <w:numFmt w:val="chineseCountingThousand"/>
      <w:suff w:val="space"/>
      <w:lvlText w:val="第%2条"/>
      <w:lvlJc w:val="left"/>
      <w:pPr>
        <w:ind w:left="0" w:firstLine="0"/>
      </w:pPr>
      <w:rPr>
        <w:rFonts w:eastAsia="方正黑体_GBK" w:hAnsi="方正黑体_GBK" w:hint="eastAsia"/>
        <w:color w:val="auto"/>
      </w:rPr>
    </w:lvl>
    <w:lvl w:ilvl="2" w:tentative="1">
      <w:start w:val="1"/>
      <w:numFmt w:val="chineseCountingThousand"/>
      <w:suff w:val="space"/>
      <w:lvlText w:val="第%3条"/>
      <w:lvlJc w:val="left"/>
      <w:pPr>
        <w:ind w:left="0" w:firstLine="454"/>
      </w:pPr>
      <w:rPr>
        <w:rFonts w:hint="eastAsia"/>
        <w:color w:val="auto"/>
      </w:rPr>
    </w:lvl>
    <w:lvl w:ilvl="3" w:tentative="1">
      <w:start w:val="1"/>
      <w:numFmt w:val="chineseCountingThousand"/>
      <w:suff w:val="space"/>
      <w:lvlText w:val="（%4）"/>
      <w:lvlJc w:val="left"/>
      <w:pPr>
        <w:ind w:left="0" w:firstLine="340"/>
      </w:pPr>
      <w:rPr>
        <w:rFonts w:hint="eastAsia"/>
        <w:color w:val="auto"/>
      </w:rPr>
    </w:lvl>
    <w:lvl w:ilvl="4" w:tentative="1">
      <w:start w:val="1"/>
      <w:numFmt w:val="decimal"/>
      <w:suff w:val="space"/>
      <w:lvlText w:val="%5．"/>
      <w:lvlJc w:val="left"/>
      <w:pPr>
        <w:ind w:left="0" w:firstLine="454"/>
      </w:pPr>
      <w:rPr>
        <w:rFonts w:hint="eastAsia"/>
        <w:color w:val="auto"/>
      </w:rPr>
    </w:lvl>
    <w:lvl w:ilvl="5" w:tentative="1">
      <w:start w:val="1"/>
      <w:numFmt w:val="decimal"/>
      <w:suff w:val="space"/>
      <w:lvlText w:val="（%6）"/>
      <w:lvlJc w:val="left"/>
      <w:pPr>
        <w:ind w:left="0" w:firstLine="340"/>
      </w:pPr>
      <w:rPr>
        <w:rFonts w:hint="eastAsia"/>
        <w:color w:val="auto"/>
      </w:rPr>
    </w:lvl>
    <w:lvl w:ilvl="6" w:tentative="1">
      <w:start w:val="1"/>
      <w:numFmt w:val="decimalEnclosedCircle"/>
      <w:suff w:val="space"/>
      <w:lvlText w:val="%7 "/>
      <w:lvlJc w:val="left"/>
      <w:pPr>
        <w:ind w:left="0" w:firstLine="454"/>
      </w:pPr>
      <w:rPr>
        <w:rFonts w:hint="eastAsia"/>
        <w:color w:val="auto"/>
      </w:rPr>
    </w:lvl>
    <w:lvl w:ilvl="7" w:tentative="1">
      <w:start w:val="1"/>
      <w:numFmt w:val="decimal"/>
      <w:suff w:val="space"/>
      <w:lvlText w:val="%8）"/>
      <w:lvlJc w:val="left"/>
      <w:pPr>
        <w:ind w:left="0" w:firstLine="454"/>
      </w:pPr>
      <w:rPr>
        <w:rFonts w:hint="eastAsia"/>
        <w:color w:val="auto"/>
      </w:rPr>
    </w:lvl>
    <w:lvl w:ilvl="8" w:tentative="1">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F5178"/>
    <w:rsid w:val="00BA1400"/>
    <w:rsid w:val="00CD2EF2"/>
    <w:rsid w:val="07390C4A"/>
    <w:rsid w:val="0E6E27BE"/>
    <w:rsid w:val="10347023"/>
    <w:rsid w:val="18167E86"/>
    <w:rsid w:val="197F78D4"/>
    <w:rsid w:val="1A116F39"/>
    <w:rsid w:val="1BA477EB"/>
    <w:rsid w:val="1E6955B9"/>
    <w:rsid w:val="209F7707"/>
    <w:rsid w:val="21873336"/>
    <w:rsid w:val="21EC5F40"/>
    <w:rsid w:val="2478325B"/>
    <w:rsid w:val="28DB0622"/>
    <w:rsid w:val="29505802"/>
    <w:rsid w:val="312B3515"/>
    <w:rsid w:val="36EE242F"/>
    <w:rsid w:val="3A307027"/>
    <w:rsid w:val="3B1E394B"/>
    <w:rsid w:val="41625B86"/>
    <w:rsid w:val="43E86CC5"/>
    <w:rsid w:val="4ACC2769"/>
    <w:rsid w:val="4BE95F43"/>
    <w:rsid w:val="52262F44"/>
    <w:rsid w:val="526644DA"/>
    <w:rsid w:val="52D20E37"/>
    <w:rsid w:val="5CC53F0F"/>
    <w:rsid w:val="651A394E"/>
    <w:rsid w:val="6A5B6FFA"/>
    <w:rsid w:val="6E1A7E83"/>
    <w:rsid w:val="6F8278D1"/>
    <w:rsid w:val="746C55B5"/>
    <w:rsid w:val="778B3333"/>
    <w:rsid w:val="79D30BBE"/>
    <w:rsid w:val="7A7C3258"/>
    <w:rsid w:val="7C232F47"/>
    <w:rsid w:val="7CCF0E3A"/>
    <w:rsid w:val="7EDE0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toc 1" w:semiHidden="0" w:uiPriority="0" w:unhideWhenUsed="0"/>
    <w:lsdException w:name="toc 2" w:semiHidden="0" w:uiPriority="0" w:unhideWhenUsed="0"/>
    <w:lsdException w:name="toc 3"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Body Text First Indent" w:semiHidden="0" w:uiPriority="0" w:unhideWhenUsed="0"/>
    <w:lsdException w:name="Body Text First Indent 2" w:semiHidden="0" w:uiPriority="0" w:unhideWhenUsed="0"/>
    <w:lsdException w:name="Hyperlink" w:semiHidden="0" w:uiPriority="0" w:unhideWhenUsed="0"/>
    <w:lsdException w:name="Emphasis" w:semiHidden="0" w:uiPriority="0" w:unhideWhenUsed="0"/>
    <w:lsdException w:name="Normal (Web)" w:semiHidden="0" w:uiPriority="0" w:unhideWhenUsed="0"/>
    <w:lsdException w:name="HTML Preformatted" w:semiHidden="0" w:uiPriority="0" w:unhideWhenUsed="0"/>
    <w:lsdException w:name="Normal Table" w:semiHidden="0"/>
    <w:lsdException w:name="annotation subject" w:semiHidden="0" w:uiPriority="0" w:unhideWhenUsed="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pPr>
      <w:widowControl w:val="0"/>
      <w:spacing w:line="240" w:lineRule="atLeast"/>
      <w:jc w:val="both"/>
    </w:pPr>
    <w:rPr>
      <w:rFonts w:eastAsia="仿宋_GB2312"/>
      <w:spacing w:val="-6"/>
      <w:kern w:val="2"/>
      <w:sz w:val="32"/>
    </w:rPr>
  </w:style>
  <w:style w:type="paragraph" w:styleId="1">
    <w:name w:val="heading 1"/>
    <w:basedOn w:val="a0"/>
    <w:next w:val="a0"/>
    <w:pPr>
      <w:widowControl/>
      <w:spacing w:line="560" w:lineRule="exact"/>
      <w:ind w:firstLineChars="200" w:firstLine="200"/>
      <w:jc w:val="left"/>
      <w:outlineLvl w:val="0"/>
    </w:pPr>
    <w:rPr>
      <w:rFonts w:ascii="方正黑体_GBK" w:eastAsia="方正黑体_GBK" w:hAnsi="等线"/>
      <w:spacing w:val="0"/>
      <w:kern w:val="0"/>
    </w:rPr>
  </w:style>
  <w:style w:type="paragraph" w:styleId="2">
    <w:name w:val="heading 2"/>
    <w:basedOn w:val="a0"/>
    <w:next w:val="a0"/>
    <w:pPr>
      <w:keepNext/>
      <w:keepLines/>
      <w:spacing w:before="260" w:after="260" w:line="416" w:lineRule="auto"/>
      <w:outlineLvl w:val="1"/>
    </w:pPr>
    <w:rPr>
      <w:rFonts w:ascii="等线 Light" w:eastAsia="等线 Light" w:hAnsi="等线 Light"/>
      <w:b/>
      <w:spacing w:val="0"/>
    </w:rPr>
  </w:style>
  <w:style w:type="paragraph" w:styleId="3">
    <w:name w:val="heading 3"/>
    <w:basedOn w:val="a0"/>
    <w:next w:val="a0"/>
    <w:pPr>
      <w:keepNext/>
      <w:keepLines/>
      <w:spacing w:before="140" w:after="140" w:line="413" w:lineRule="auto"/>
      <w:ind w:leftChars="300" w:left="300"/>
      <w:outlineLvl w:val="2"/>
    </w:pPr>
    <w:rPr>
      <w:rFonts w:eastAsia="宋体"/>
      <w:b/>
      <w:spacing w:val="0"/>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pPr>
      <w:ind w:firstLineChars="100" w:firstLine="100"/>
    </w:pPr>
    <w:rPr>
      <w:rFonts w:ascii="宋体" w:hAnsi="宋体"/>
      <w:sz w:val="24"/>
    </w:rPr>
  </w:style>
  <w:style w:type="paragraph" w:styleId="a5">
    <w:name w:val="Body Text"/>
    <w:basedOn w:val="a0"/>
    <w:next w:val="a1"/>
    <w:pPr>
      <w:spacing w:line="240" w:lineRule="auto"/>
    </w:pPr>
    <w:rPr>
      <w:rFonts w:ascii="等线" w:eastAsia="宋体" w:hAnsi="等线"/>
      <w:spacing w:val="0"/>
    </w:rPr>
  </w:style>
  <w:style w:type="paragraph" w:styleId="a6">
    <w:name w:val="annotation subject"/>
    <w:basedOn w:val="a7"/>
    <w:next w:val="a7"/>
    <w:rPr>
      <w:b/>
    </w:rPr>
  </w:style>
  <w:style w:type="paragraph" w:styleId="a7">
    <w:name w:val="annotation text"/>
    <w:basedOn w:val="a0"/>
    <w:pPr>
      <w:spacing w:line="240" w:lineRule="auto"/>
      <w:jc w:val="left"/>
    </w:pPr>
    <w:rPr>
      <w:rFonts w:ascii="等线" w:eastAsia="宋体" w:hAnsi="等线"/>
      <w:spacing w:val="0"/>
      <w:sz w:val="21"/>
    </w:rPr>
  </w:style>
  <w:style w:type="paragraph" w:styleId="a8">
    <w:name w:val="caption"/>
    <w:basedOn w:val="a0"/>
    <w:next w:val="a0"/>
    <w:pPr>
      <w:spacing w:line="240" w:lineRule="auto"/>
    </w:pPr>
    <w:rPr>
      <w:rFonts w:ascii="Calibri Light" w:eastAsia="黑体" w:hAnsi="Calibri Light"/>
      <w:spacing w:val="0"/>
      <w:sz w:val="20"/>
    </w:rPr>
  </w:style>
  <w:style w:type="paragraph" w:styleId="a9">
    <w:name w:val="Body Text Indent"/>
    <w:basedOn w:val="a0"/>
    <w:pPr>
      <w:spacing w:after="120" w:line="240" w:lineRule="auto"/>
      <w:ind w:leftChars="200" w:left="200"/>
    </w:pPr>
    <w:rPr>
      <w:rFonts w:ascii="等线" w:eastAsia="宋体" w:hAnsi="等线"/>
      <w:spacing w:val="0"/>
      <w:sz w:val="21"/>
    </w:rPr>
  </w:style>
  <w:style w:type="paragraph" w:styleId="30">
    <w:name w:val="toc 3"/>
    <w:basedOn w:val="a0"/>
    <w:next w:val="a0"/>
    <w:pPr>
      <w:spacing w:line="240" w:lineRule="auto"/>
      <w:ind w:leftChars="400" w:left="400"/>
    </w:pPr>
    <w:rPr>
      <w:rFonts w:ascii="等线" w:eastAsia="宋体" w:hAnsi="等线"/>
      <w:spacing w:val="0"/>
      <w:sz w:val="21"/>
    </w:rPr>
  </w:style>
  <w:style w:type="paragraph" w:styleId="aa">
    <w:name w:val="Balloon Text"/>
    <w:basedOn w:val="a0"/>
    <w:pPr>
      <w:spacing w:line="240" w:lineRule="auto"/>
    </w:pPr>
    <w:rPr>
      <w:rFonts w:ascii="等线" w:eastAsia="宋体" w:hAnsi="等线"/>
      <w:spacing w:val="0"/>
      <w:sz w:val="18"/>
    </w:rPr>
  </w:style>
  <w:style w:type="paragraph" w:styleId="ab">
    <w:name w:val="footer"/>
    <w:basedOn w:val="a0"/>
    <w:pPr>
      <w:tabs>
        <w:tab w:val="center" w:pos="4153"/>
        <w:tab w:val="right" w:pos="8306"/>
      </w:tabs>
      <w:overflowPunct w:val="0"/>
      <w:autoSpaceDE w:val="0"/>
      <w:autoSpaceDN w:val="0"/>
      <w:adjustRightInd w:val="0"/>
      <w:textAlignment w:val="baseline"/>
    </w:pPr>
    <w:rPr>
      <w:sz w:val="20"/>
    </w:rPr>
  </w:style>
  <w:style w:type="paragraph" w:styleId="20">
    <w:name w:val="Body Text First Indent 2"/>
    <w:basedOn w:val="a9"/>
    <w:next w:val="a0"/>
    <w:pPr>
      <w:adjustRightInd w:val="0"/>
      <w:snapToGrid w:val="0"/>
      <w:spacing w:after="0" w:line="560" w:lineRule="exact"/>
      <w:ind w:leftChars="0" w:left="0" w:firstLineChars="200" w:firstLine="200"/>
    </w:pPr>
    <w:rPr>
      <w:rFonts w:ascii="Times New Roman" w:eastAsia="仿宋_GB2312" w:hAnsi="Times New Roman"/>
      <w:sz w:val="32"/>
    </w:rPr>
  </w:style>
  <w:style w:type="paragraph" w:styleId="ac">
    <w:name w:val="header"/>
    <w:basedOn w:val="a0"/>
    <w:pPr>
      <w:tabs>
        <w:tab w:val="center" w:pos="4153"/>
        <w:tab w:val="right" w:pos="8306"/>
      </w:tabs>
      <w:overflowPunct w:val="0"/>
      <w:autoSpaceDE w:val="0"/>
      <w:autoSpaceDN w:val="0"/>
      <w:adjustRightInd w:val="0"/>
      <w:textAlignment w:val="baseline"/>
    </w:pPr>
    <w:rPr>
      <w:sz w:val="20"/>
    </w:rPr>
  </w:style>
  <w:style w:type="paragraph" w:styleId="10">
    <w:name w:val="toc 1"/>
    <w:basedOn w:val="a0"/>
    <w:next w:val="a0"/>
    <w:pPr>
      <w:spacing w:line="240" w:lineRule="auto"/>
    </w:pPr>
    <w:rPr>
      <w:rFonts w:ascii="等线" w:eastAsia="宋体" w:hAnsi="等线"/>
      <w:spacing w:val="0"/>
      <w:sz w:val="21"/>
    </w:rPr>
  </w:style>
  <w:style w:type="paragraph" w:styleId="ad">
    <w:name w:val="footnote text"/>
    <w:basedOn w:val="a0"/>
    <w:pPr>
      <w:snapToGrid w:val="0"/>
      <w:spacing w:line="240" w:lineRule="auto"/>
      <w:jc w:val="left"/>
    </w:pPr>
    <w:rPr>
      <w:rFonts w:ascii="等线" w:eastAsia="宋体" w:hAnsi="等线"/>
      <w:spacing w:val="0"/>
      <w:sz w:val="18"/>
    </w:rPr>
  </w:style>
  <w:style w:type="paragraph" w:styleId="21">
    <w:name w:val="toc 2"/>
    <w:basedOn w:val="a0"/>
    <w:next w:val="a0"/>
    <w:pPr>
      <w:spacing w:line="240" w:lineRule="auto"/>
      <w:ind w:leftChars="200" w:left="200"/>
    </w:pPr>
    <w:rPr>
      <w:rFonts w:ascii="等线" w:eastAsia="宋体" w:hAnsi="等线"/>
      <w:spacing w:val="0"/>
      <w:sz w:val="21"/>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hint="eastAsia"/>
      <w:spacing w:val="0"/>
      <w:kern w:val="0"/>
      <w:sz w:val="24"/>
    </w:rPr>
  </w:style>
  <w:style w:type="paragraph" w:styleId="ae">
    <w:name w:val="Normal (Web)"/>
    <w:basedOn w:val="a0"/>
    <w:pPr>
      <w:spacing w:beforeAutospacing="1" w:afterAutospacing="1" w:line="240" w:lineRule="auto"/>
      <w:jc w:val="left"/>
    </w:pPr>
    <w:rPr>
      <w:rFonts w:ascii="等线" w:eastAsia="宋体" w:hAnsi="等线"/>
      <w:spacing w:val="0"/>
      <w:kern w:val="0"/>
      <w:sz w:val="24"/>
    </w:rPr>
  </w:style>
  <w:style w:type="character" w:styleId="af">
    <w:name w:val="page number"/>
    <w:basedOn w:val="a2"/>
  </w:style>
  <w:style w:type="character" w:styleId="af0">
    <w:name w:val="Emphasis"/>
    <w:basedOn w:val="a2"/>
    <w:rPr>
      <w:rFonts w:ascii="Times New Roman" w:eastAsia="宋体" w:hAnsi="Times New Roman"/>
      <w:i/>
    </w:rPr>
  </w:style>
  <w:style w:type="character" w:styleId="af1">
    <w:name w:val="line number"/>
    <w:basedOn w:val="a2"/>
  </w:style>
  <w:style w:type="character" w:styleId="af2">
    <w:name w:val="Hyperlink"/>
    <w:basedOn w:val="a2"/>
    <w:rPr>
      <w:rFonts w:ascii="Times New Roman" w:eastAsia="宋体" w:hAnsi="Times New Roman"/>
      <w:color w:val="0000FF"/>
      <w:u w:val="single"/>
    </w:rPr>
  </w:style>
  <w:style w:type="character" w:styleId="af3">
    <w:name w:val="annotation reference"/>
    <w:basedOn w:val="a2"/>
    <w:rPr>
      <w:rFonts w:ascii="Times New Roman" w:eastAsia="宋体" w:hAnsi="Times New Roman"/>
      <w:sz w:val="21"/>
    </w:rPr>
  </w:style>
  <w:style w:type="character" w:styleId="af4">
    <w:name w:val="footnote reference"/>
    <w:basedOn w:val="a2"/>
    <w:rPr>
      <w:rFonts w:ascii="Times New Roman" w:eastAsia="宋体" w:hAnsi="Times New Roman"/>
      <w:vertAlign w:val="superscript"/>
    </w:rPr>
  </w:style>
  <w:style w:type="paragraph" w:customStyle="1" w:styleId="22">
    <w:name w:val="正文2"/>
    <w:basedOn w:val="a0"/>
    <w:pPr>
      <w:spacing w:before="156" w:line="360" w:lineRule="auto"/>
      <w:ind w:firstLineChars="200" w:firstLine="200"/>
    </w:pPr>
    <w:rPr>
      <w:rFonts w:ascii="Calibri" w:eastAsia="??" w:hAnsi="Calibri"/>
      <w:spacing w:val="0"/>
      <w:sz w:val="21"/>
    </w:rPr>
  </w:style>
  <w:style w:type="paragraph" w:customStyle="1" w:styleId="a">
    <w:name w:val="居中"/>
    <w:basedOn w:val="a0"/>
    <w:pPr>
      <w:numPr>
        <w:numId w:val="1"/>
      </w:numPr>
    </w:pPr>
  </w:style>
  <w:style w:type="paragraph" w:customStyle="1" w:styleId="g">
    <w:name w:val="g正文"/>
    <w:basedOn w:val="a0"/>
    <w:pPr>
      <w:spacing w:line="560" w:lineRule="exact"/>
      <w:ind w:firstLineChars="200" w:firstLine="200"/>
    </w:pPr>
    <w:rPr>
      <w:rFonts w:eastAsia="仿宋"/>
      <w:color w:val="000000"/>
      <w:spacing w:val="0"/>
      <w:shd w:val="clear" w:color="auto" w:fill="FFFFFF"/>
    </w:rPr>
  </w:style>
  <w:style w:type="paragraph" w:customStyle="1" w:styleId="WPSOffice3">
    <w:name w:val="WPSOffice手动目录 3"/>
    <w:pPr>
      <w:ind w:leftChars="400" w:left="400"/>
    </w:pPr>
    <w:rPr>
      <w:rFonts w:ascii="Calibri" w:hAnsi="Calibri"/>
    </w:rPr>
  </w:style>
  <w:style w:type="paragraph" w:customStyle="1" w:styleId="TOC1">
    <w:name w:val="TOC 标题1"/>
    <w:basedOn w:val="1"/>
    <w:next w:val="a0"/>
    <w:pPr>
      <w:spacing w:before="480" w:line="276" w:lineRule="auto"/>
      <w:outlineLvl w:val="9"/>
    </w:pPr>
    <w:rPr>
      <w:rFonts w:ascii="Calibri Light" w:eastAsia="宋体" w:hAnsi="Calibri Light"/>
      <w:color w:val="2E75B5"/>
      <w:sz w:val="28"/>
    </w:rPr>
  </w:style>
  <w:style w:type="paragraph" w:customStyle="1" w:styleId="af5">
    <w:name w:val="首行缩进"/>
    <w:basedOn w:val="a0"/>
    <w:pPr>
      <w:spacing w:line="240" w:lineRule="auto"/>
    </w:pPr>
    <w:rPr>
      <w:rFonts w:eastAsia="宋体"/>
      <w:spacing w:val="0"/>
      <w:sz w:val="21"/>
    </w:rPr>
  </w:style>
  <w:style w:type="paragraph" w:customStyle="1" w:styleId="af6">
    <w:name w:val="一级标题"/>
    <w:basedOn w:val="a0"/>
    <w:pPr>
      <w:spacing w:line="560" w:lineRule="exact"/>
      <w:ind w:firstLineChars="200" w:firstLine="200"/>
    </w:pPr>
    <w:rPr>
      <w:rFonts w:ascii="Calibri" w:eastAsia="黑体" w:hAnsi="Calibri"/>
      <w:spacing w:val="0"/>
    </w:rPr>
  </w:style>
  <w:style w:type="paragraph" w:customStyle="1" w:styleId="WPSOffice2">
    <w:name w:val="WPSOffice手动目录 2"/>
    <w:pPr>
      <w:ind w:leftChars="200" w:left="200"/>
    </w:pPr>
  </w:style>
  <w:style w:type="paragraph" w:customStyle="1" w:styleId="11">
    <w:name w:val="列出段落1"/>
    <w:basedOn w:val="a0"/>
    <w:pPr>
      <w:spacing w:line="240" w:lineRule="auto"/>
      <w:ind w:firstLineChars="200" w:firstLine="200"/>
    </w:pPr>
    <w:rPr>
      <w:rFonts w:ascii="等线" w:eastAsia="宋体" w:hAnsi="等线"/>
      <w:spacing w:val="0"/>
      <w:sz w:val="21"/>
    </w:rPr>
  </w:style>
  <w:style w:type="paragraph" w:customStyle="1" w:styleId="af7">
    <w:name w:val="公文正文"/>
    <w:pPr>
      <w:spacing w:line="560" w:lineRule="exact"/>
      <w:ind w:firstLineChars="200" w:firstLine="200"/>
      <w:jc w:val="both"/>
    </w:pPr>
    <w:rPr>
      <w:rFonts w:eastAsia="仿宋_GB2312"/>
      <w:sz w:val="32"/>
    </w:rPr>
  </w:style>
  <w:style w:type="paragraph" w:customStyle="1" w:styleId="af8">
    <w:name w:val="段"/>
    <w:pPr>
      <w:autoSpaceDE w:val="0"/>
      <w:autoSpaceDN w:val="0"/>
      <w:ind w:firstLineChars="200" w:firstLine="200"/>
      <w:jc w:val="both"/>
    </w:pPr>
    <w:rPr>
      <w:rFonts w:ascii="宋体"/>
      <w:sz w:val="21"/>
    </w:rPr>
  </w:style>
  <w:style w:type="paragraph" w:customStyle="1" w:styleId="12">
    <w:name w:val="修订1"/>
    <w:rPr>
      <w:rFonts w:ascii="等线" w:hAnsi="等线"/>
      <w:kern w:val="2"/>
      <w:sz w:val="21"/>
    </w:rPr>
  </w:style>
  <w:style w:type="paragraph" w:customStyle="1" w:styleId="af9">
    <w:name w:val="二级标题"/>
    <w:pPr>
      <w:spacing w:line="560" w:lineRule="exact"/>
      <w:ind w:firstLineChars="200" w:firstLine="200"/>
    </w:pPr>
    <w:rPr>
      <w:rFonts w:eastAsia="楷体_GB2312"/>
      <w:sz w:val="32"/>
    </w:rPr>
  </w:style>
  <w:style w:type="paragraph" w:customStyle="1" w:styleId="WPSOffice1">
    <w:name w:val="WPSOffice手动目录 1"/>
  </w:style>
  <w:style w:type="paragraph" w:customStyle="1" w:styleId="23">
    <w:name w:val="标题2"/>
    <w:basedOn w:val="2"/>
    <w:pPr>
      <w:spacing w:before="0" w:after="0" w:line="360" w:lineRule="auto"/>
    </w:pPr>
    <w:rPr>
      <w:rFonts w:eastAsia="宋体"/>
      <w:sz w:val="30"/>
    </w:rPr>
  </w:style>
  <w:style w:type="character" w:customStyle="1" w:styleId="Char">
    <w:name w:val="二级标题 Char"/>
    <w:rPr>
      <w:rFonts w:ascii="Times New Roman" w:eastAsia="楷体_GB2312" w:hAnsi="Times New Roman"/>
      <w:sz w:val="32"/>
    </w:rPr>
  </w:style>
  <w:style w:type="character" w:customStyle="1" w:styleId="afa">
    <w:name w:val="批注主题 字符"/>
    <w:basedOn w:val="afb"/>
    <w:rPr>
      <w:rFonts w:ascii="等线" w:eastAsia="宋体" w:hAnsi="等线"/>
      <w:b/>
      <w:kern w:val="2"/>
      <w:sz w:val="21"/>
    </w:rPr>
  </w:style>
  <w:style w:type="character" w:customStyle="1" w:styleId="afb">
    <w:name w:val="批注文字 字符"/>
    <w:basedOn w:val="a2"/>
    <w:rPr>
      <w:rFonts w:ascii="等线" w:eastAsia="宋体" w:hAnsi="等线"/>
      <w:kern w:val="2"/>
      <w:sz w:val="21"/>
    </w:rPr>
  </w:style>
  <w:style w:type="character" w:customStyle="1" w:styleId="font51">
    <w:name w:val="font51"/>
    <w:basedOn w:val="a2"/>
    <w:rPr>
      <w:rFonts w:ascii="宋体" w:eastAsia="宋体" w:hAnsi="宋体" w:hint="eastAsia"/>
      <w:color w:val="000000"/>
      <w:sz w:val="28"/>
      <w:u w:val="none"/>
    </w:rPr>
  </w:style>
  <w:style w:type="character" w:customStyle="1" w:styleId="font01">
    <w:name w:val="font01"/>
    <w:basedOn w:val="a2"/>
    <w:rPr>
      <w:rFonts w:ascii="宋体" w:eastAsia="宋体" w:hAnsi="宋体" w:hint="eastAsia"/>
      <w:color w:val="000000"/>
      <w:sz w:val="28"/>
      <w:u w:val="none"/>
    </w:rPr>
  </w:style>
  <w:style w:type="character" w:customStyle="1" w:styleId="font31">
    <w:name w:val="font31"/>
    <w:basedOn w:val="a2"/>
    <w:rPr>
      <w:rFonts w:ascii="仿宋_GB2312" w:eastAsia="仿宋_GB2312" w:hAnsi="仿宋_GB2312" w:hint="eastAsia"/>
      <w:color w:val="000000"/>
      <w:sz w:val="28"/>
      <w:u w:val="none"/>
    </w:rPr>
  </w:style>
  <w:style w:type="character" w:customStyle="1" w:styleId="afc">
    <w:name w:val="批注框文本 字符"/>
    <w:basedOn w:val="a2"/>
    <w:rPr>
      <w:rFonts w:ascii="等线" w:eastAsia="宋体" w:hAnsi="等线"/>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toc 1" w:semiHidden="0" w:uiPriority="0" w:unhideWhenUsed="0"/>
    <w:lsdException w:name="toc 2" w:semiHidden="0" w:uiPriority="0" w:unhideWhenUsed="0"/>
    <w:lsdException w:name="toc 3"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Body Text First Indent" w:semiHidden="0" w:uiPriority="0" w:unhideWhenUsed="0"/>
    <w:lsdException w:name="Body Text First Indent 2" w:semiHidden="0" w:uiPriority="0" w:unhideWhenUsed="0"/>
    <w:lsdException w:name="Hyperlink" w:semiHidden="0" w:uiPriority="0" w:unhideWhenUsed="0"/>
    <w:lsdException w:name="Emphasis" w:semiHidden="0" w:uiPriority="0" w:unhideWhenUsed="0"/>
    <w:lsdException w:name="Normal (Web)" w:semiHidden="0" w:uiPriority="0" w:unhideWhenUsed="0"/>
    <w:lsdException w:name="HTML Preformatted" w:semiHidden="0" w:uiPriority="0" w:unhideWhenUsed="0"/>
    <w:lsdException w:name="Normal Table" w:semiHidden="0"/>
    <w:lsdException w:name="annotation subject" w:semiHidden="0" w:uiPriority="0" w:unhideWhenUsed="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pPr>
      <w:widowControl w:val="0"/>
      <w:spacing w:line="240" w:lineRule="atLeast"/>
      <w:jc w:val="both"/>
    </w:pPr>
    <w:rPr>
      <w:rFonts w:eastAsia="仿宋_GB2312"/>
      <w:spacing w:val="-6"/>
      <w:kern w:val="2"/>
      <w:sz w:val="32"/>
    </w:rPr>
  </w:style>
  <w:style w:type="paragraph" w:styleId="1">
    <w:name w:val="heading 1"/>
    <w:basedOn w:val="a0"/>
    <w:next w:val="a0"/>
    <w:pPr>
      <w:widowControl/>
      <w:spacing w:line="560" w:lineRule="exact"/>
      <w:ind w:firstLineChars="200" w:firstLine="200"/>
      <w:jc w:val="left"/>
      <w:outlineLvl w:val="0"/>
    </w:pPr>
    <w:rPr>
      <w:rFonts w:ascii="方正黑体_GBK" w:eastAsia="方正黑体_GBK" w:hAnsi="等线"/>
      <w:spacing w:val="0"/>
      <w:kern w:val="0"/>
    </w:rPr>
  </w:style>
  <w:style w:type="paragraph" w:styleId="2">
    <w:name w:val="heading 2"/>
    <w:basedOn w:val="a0"/>
    <w:next w:val="a0"/>
    <w:pPr>
      <w:keepNext/>
      <w:keepLines/>
      <w:spacing w:before="260" w:after="260" w:line="416" w:lineRule="auto"/>
      <w:outlineLvl w:val="1"/>
    </w:pPr>
    <w:rPr>
      <w:rFonts w:ascii="等线 Light" w:eastAsia="等线 Light" w:hAnsi="等线 Light"/>
      <w:b/>
      <w:spacing w:val="0"/>
    </w:rPr>
  </w:style>
  <w:style w:type="paragraph" w:styleId="3">
    <w:name w:val="heading 3"/>
    <w:basedOn w:val="a0"/>
    <w:next w:val="a0"/>
    <w:pPr>
      <w:keepNext/>
      <w:keepLines/>
      <w:spacing w:before="140" w:after="140" w:line="413" w:lineRule="auto"/>
      <w:ind w:leftChars="300" w:left="300"/>
      <w:outlineLvl w:val="2"/>
    </w:pPr>
    <w:rPr>
      <w:rFonts w:eastAsia="宋体"/>
      <w:b/>
      <w:spacing w:val="0"/>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pPr>
      <w:ind w:firstLineChars="100" w:firstLine="100"/>
    </w:pPr>
    <w:rPr>
      <w:rFonts w:ascii="宋体" w:hAnsi="宋体"/>
      <w:sz w:val="24"/>
    </w:rPr>
  </w:style>
  <w:style w:type="paragraph" w:styleId="a5">
    <w:name w:val="Body Text"/>
    <w:basedOn w:val="a0"/>
    <w:next w:val="a1"/>
    <w:pPr>
      <w:spacing w:line="240" w:lineRule="auto"/>
    </w:pPr>
    <w:rPr>
      <w:rFonts w:ascii="等线" w:eastAsia="宋体" w:hAnsi="等线"/>
      <w:spacing w:val="0"/>
    </w:rPr>
  </w:style>
  <w:style w:type="paragraph" w:styleId="a6">
    <w:name w:val="annotation subject"/>
    <w:basedOn w:val="a7"/>
    <w:next w:val="a7"/>
    <w:rPr>
      <w:b/>
    </w:rPr>
  </w:style>
  <w:style w:type="paragraph" w:styleId="a7">
    <w:name w:val="annotation text"/>
    <w:basedOn w:val="a0"/>
    <w:pPr>
      <w:spacing w:line="240" w:lineRule="auto"/>
      <w:jc w:val="left"/>
    </w:pPr>
    <w:rPr>
      <w:rFonts w:ascii="等线" w:eastAsia="宋体" w:hAnsi="等线"/>
      <w:spacing w:val="0"/>
      <w:sz w:val="21"/>
    </w:rPr>
  </w:style>
  <w:style w:type="paragraph" w:styleId="a8">
    <w:name w:val="caption"/>
    <w:basedOn w:val="a0"/>
    <w:next w:val="a0"/>
    <w:pPr>
      <w:spacing w:line="240" w:lineRule="auto"/>
    </w:pPr>
    <w:rPr>
      <w:rFonts w:ascii="Calibri Light" w:eastAsia="黑体" w:hAnsi="Calibri Light"/>
      <w:spacing w:val="0"/>
      <w:sz w:val="20"/>
    </w:rPr>
  </w:style>
  <w:style w:type="paragraph" w:styleId="a9">
    <w:name w:val="Body Text Indent"/>
    <w:basedOn w:val="a0"/>
    <w:pPr>
      <w:spacing w:after="120" w:line="240" w:lineRule="auto"/>
      <w:ind w:leftChars="200" w:left="200"/>
    </w:pPr>
    <w:rPr>
      <w:rFonts w:ascii="等线" w:eastAsia="宋体" w:hAnsi="等线"/>
      <w:spacing w:val="0"/>
      <w:sz w:val="21"/>
    </w:rPr>
  </w:style>
  <w:style w:type="paragraph" w:styleId="30">
    <w:name w:val="toc 3"/>
    <w:basedOn w:val="a0"/>
    <w:next w:val="a0"/>
    <w:pPr>
      <w:spacing w:line="240" w:lineRule="auto"/>
      <w:ind w:leftChars="400" w:left="400"/>
    </w:pPr>
    <w:rPr>
      <w:rFonts w:ascii="等线" w:eastAsia="宋体" w:hAnsi="等线"/>
      <w:spacing w:val="0"/>
      <w:sz w:val="21"/>
    </w:rPr>
  </w:style>
  <w:style w:type="paragraph" w:styleId="aa">
    <w:name w:val="Balloon Text"/>
    <w:basedOn w:val="a0"/>
    <w:pPr>
      <w:spacing w:line="240" w:lineRule="auto"/>
    </w:pPr>
    <w:rPr>
      <w:rFonts w:ascii="等线" w:eastAsia="宋体" w:hAnsi="等线"/>
      <w:spacing w:val="0"/>
      <w:sz w:val="18"/>
    </w:rPr>
  </w:style>
  <w:style w:type="paragraph" w:styleId="ab">
    <w:name w:val="footer"/>
    <w:basedOn w:val="a0"/>
    <w:pPr>
      <w:tabs>
        <w:tab w:val="center" w:pos="4153"/>
        <w:tab w:val="right" w:pos="8306"/>
      </w:tabs>
      <w:overflowPunct w:val="0"/>
      <w:autoSpaceDE w:val="0"/>
      <w:autoSpaceDN w:val="0"/>
      <w:adjustRightInd w:val="0"/>
      <w:textAlignment w:val="baseline"/>
    </w:pPr>
    <w:rPr>
      <w:sz w:val="20"/>
    </w:rPr>
  </w:style>
  <w:style w:type="paragraph" w:styleId="20">
    <w:name w:val="Body Text First Indent 2"/>
    <w:basedOn w:val="a9"/>
    <w:next w:val="a0"/>
    <w:pPr>
      <w:adjustRightInd w:val="0"/>
      <w:snapToGrid w:val="0"/>
      <w:spacing w:after="0" w:line="560" w:lineRule="exact"/>
      <w:ind w:leftChars="0" w:left="0" w:firstLineChars="200" w:firstLine="200"/>
    </w:pPr>
    <w:rPr>
      <w:rFonts w:ascii="Times New Roman" w:eastAsia="仿宋_GB2312" w:hAnsi="Times New Roman"/>
      <w:sz w:val="32"/>
    </w:rPr>
  </w:style>
  <w:style w:type="paragraph" w:styleId="ac">
    <w:name w:val="header"/>
    <w:basedOn w:val="a0"/>
    <w:pPr>
      <w:tabs>
        <w:tab w:val="center" w:pos="4153"/>
        <w:tab w:val="right" w:pos="8306"/>
      </w:tabs>
      <w:overflowPunct w:val="0"/>
      <w:autoSpaceDE w:val="0"/>
      <w:autoSpaceDN w:val="0"/>
      <w:adjustRightInd w:val="0"/>
      <w:textAlignment w:val="baseline"/>
    </w:pPr>
    <w:rPr>
      <w:sz w:val="20"/>
    </w:rPr>
  </w:style>
  <w:style w:type="paragraph" w:styleId="10">
    <w:name w:val="toc 1"/>
    <w:basedOn w:val="a0"/>
    <w:next w:val="a0"/>
    <w:pPr>
      <w:spacing w:line="240" w:lineRule="auto"/>
    </w:pPr>
    <w:rPr>
      <w:rFonts w:ascii="等线" w:eastAsia="宋体" w:hAnsi="等线"/>
      <w:spacing w:val="0"/>
      <w:sz w:val="21"/>
    </w:rPr>
  </w:style>
  <w:style w:type="paragraph" w:styleId="ad">
    <w:name w:val="footnote text"/>
    <w:basedOn w:val="a0"/>
    <w:pPr>
      <w:snapToGrid w:val="0"/>
      <w:spacing w:line="240" w:lineRule="auto"/>
      <w:jc w:val="left"/>
    </w:pPr>
    <w:rPr>
      <w:rFonts w:ascii="等线" w:eastAsia="宋体" w:hAnsi="等线"/>
      <w:spacing w:val="0"/>
      <w:sz w:val="18"/>
    </w:rPr>
  </w:style>
  <w:style w:type="paragraph" w:styleId="21">
    <w:name w:val="toc 2"/>
    <w:basedOn w:val="a0"/>
    <w:next w:val="a0"/>
    <w:pPr>
      <w:spacing w:line="240" w:lineRule="auto"/>
      <w:ind w:leftChars="200" w:left="200"/>
    </w:pPr>
    <w:rPr>
      <w:rFonts w:ascii="等线" w:eastAsia="宋体" w:hAnsi="等线"/>
      <w:spacing w:val="0"/>
      <w:sz w:val="21"/>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hint="eastAsia"/>
      <w:spacing w:val="0"/>
      <w:kern w:val="0"/>
      <w:sz w:val="24"/>
    </w:rPr>
  </w:style>
  <w:style w:type="paragraph" w:styleId="ae">
    <w:name w:val="Normal (Web)"/>
    <w:basedOn w:val="a0"/>
    <w:pPr>
      <w:spacing w:beforeAutospacing="1" w:afterAutospacing="1" w:line="240" w:lineRule="auto"/>
      <w:jc w:val="left"/>
    </w:pPr>
    <w:rPr>
      <w:rFonts w:ascii="等线" w:eastAsia="宋体" w:hAnsi="等线"/>
      <w:spacing w:val="0"/>
      <w:kern w:val="0"/>
      <w:sz w:val="24"/>
    </w:rPr>
  </w:style>
  <w:style w:type="character" w:styleId="af">
    <w:name w:val="page number"/>
    <w:basedOn w:val="a2"/>
  </w:style>
  <w:style w:type="character" w:styleId="af0">
    <w:name w:val="Emphasis"/>
    <w:basedOn w:val="a2"/>
    <w:rPr>
      <w:rFonts w:ascii="Times New Roman" w:eastAsia="宋体" w:hAnsi="Times New Roman"/>
      <w:i/>
    </w:rPr>
  </w:style>
  <w:style w:type="character" w:styleId="af1">
    <w:name w:val="line number"/>
    <w:basedOn w:val="a2"/>
  </w:style>
  <w:style w:type="character" w:styleId="af2">
    <w:name w:val="Hyperlink"/>
    <w:basedOn w:val="a2"/>
    <w:rPr>
      <w:rFonts w:ascii="Times New Roman" w:eastAsia="宋体" w:hAnsi="Times New Roman"/>
      <w:color w:val="0000FF"/>
      <w:u w:val="single"/>
    </w:rPr>
  </w:style>
  <w:style w:type="character" w:styleId="af3">
    <w:name w:val="annotation reference"/>
    <w:basedOn w:val="a2"/>
    <w:rPr>
      <w:rFonts w:ascii="Times New Roman" w:eastAsia="宋体" w:hAnsi="Times New Roman"/>
      <w:sz w:val="21"/>
    </w:rPr>
  </w:style>
  <w:style w:type="character" w:styleId="af4">
    <w:name w:val="footnote reference"/>
    <w:basedOn w:val="a2"/>
    <w:rPr>
      <w:rFonts w:ascii="Times New Roman" w:eastAsia="宋体" w:hAnsi="Times New Roman"/>
      <w:vertAlign w:val="superscript"/>
    </w:rPr>
  </w:style>
  <w:style w:type="paragraph" w:customStyle="1" w:styleId="22">
    <w:name w:val="正文2"/>
    <w:basedOn w:val="a0"/>
    <w:pPr>
      <w:spacing w:before="156" w:line="360" w:lineRule="auto"/>
      <w:ind w:firstLineChars="200" w:firstLine="200"/>
    </w:pPr>
    <w:rPr>
      <w:rFonts w:ascii="Calibri" w:eastAsia="??" w:hAnsi="Calibri"/>
      <w:spacing w:val="0"/>
      <w:sz w:val="21"/>
    </w:rPr>
  </w:style>
  <w:style w:type="paragraph" w:customStyle="1" w:styleId="a">
    <w:name w:val="居中"/>
    <w:basedOn w:val="a0"/>
    <w:pPr>
      <w:numPr>
        <w:numId w:val="1"/>
      </w:numPr>
    </w:pPr>
  </w:style>
  <w:style w:type="paragraph" w:customStyle="1" w:styleId="g">
    <w:name w:val="g正文"/>
    <w:basedOn w:val="a0"/>
    <w:pPr>
      <w:spacing w:line="560" w:lineRule="exact"/>
      <w:ind w:firstLineChars="200" w:firstLine="200"/>
    </w:pPr>
    <w:rPr>
      <w:rFonts w:eastAsia="仿宋"/>
      <w:color w:val="000000"/>
      <w:spacing w:val="0"/>
      <w:shd w:val="clear" w:color="auto" w:fill="FFFFFF"/>
    </w:rPr>
  </w:style>
  <w:style w:type="paragraph" w:customStyle="1" w:styleId="WPSOffice3">
    <w:name w:val="WPSOffice手动目录 3"/>
    <w:pPr>
      <w:ind w:leftChars="400" w:left="400"/>
    </w:pPr>
    <w:rPr>
      <w:rFonts w:ascii="Calibri" w:hAnsi="Calibri"/>
    </w:rPr>
  </w:style>
  <w:style w:type="paragraph" w:customStyle="1" w:styleId="TOC1">
    <w:name w:val="TOC 标题1"/>
    <w:basedOn w:val="1"/>
    <w:next w:val="a0"/>
    <w:pPr>
      <w:spacing w:before="480" w:line="276" w:lineRule="auto"/>
      <w:outlineLvl w:val="9"/>
    </w:pPr>
    <w:rPr>
      <w:rFonts w:ascii="Calibri Light" w:eastAsia="宋体" w:hAnsi="Calibri Light"/>
      <w:color w:val="2E75B5"/>
      <w:sz w:val="28"/>
    </w:rPr>
  </w:style>
  <w:style w:type="paragraph" w:customStyle="1" w:styleId="af5">
    <w:name w:val="首行缩进"/>
    <w:basedOn w:val="a0"/>
    <w:pPr>
      <w:spacing w:line="240" w:lineRule="auto"/>
    </w:pPr>
    <w:rPr>
      <w:rFonts w:eastAsia="宋体"/>
      <w:spacing w:val="0"/>
      <w:sz w:val="21"/>
    </w:rPr>
  </w:style>
  <w:style w:type="paragraph" w:customStyle="1" w:styleId="af6">
    <w:name w:val="一级标题"/>
    <w:basedOn w:val="a0"/>
    <w:pPr>
      <w:spacing w:line="560" w:lineRule="exact"/>
      <w:ind w:firstLineChars="200" w:firstLine="200"/>
    </w:pPr>
    <w:rPr>
      <w:rFonts w:ascii="Calibri" w:eastAsia="黑体" w:hAnsi="Calibri"/>
      <w:spacing w:val="0"/>
    </w:rPr>
  </w:style>
  <w:style w:type="paragraph" w:customStyle="1" w:styleId="WPSOffice2">
    <w:name w:val="WPSOffice手动目录 2"/>
    <w:pPr>
      <w:ind w:leftChars="200" w:left="200"/>
    </w:pPr>
  </w:style>
  <w:style w:type="paragraph" w:customStyle="1" w:styleId="11">
    <w:name w:val="列出段落1"/>
    <w:basedOn w:val="a0"/>
    <w:pPr>
      <w:spacing w:line="240" w:lineRule="auto"/>
      <w:ind w:firstLineChars="200" w:firstLine="200"/>
    </w:pPr>
    <w:rPr>
      <w:rFonts w:ascii="等线" w:eastAsia="宋体" w:hAnsi="等线"/>
      <w:spacing w:val="0"/>
      <w:sz w:val="21"/>
    </w:rPr>
  </w:style>
  <w:style w:type="paragraph" w:customStyle="1" w:styleId="af7">
    <w:name w:val="公文正文"/>
    <w:pPr>
      <w:spacing w:line="560" w:lineRule="exact"/>
      <w:ind w:firstLineChars="200" w:firstLine="200"/>
      <w:jc w:val="both"/>
    </w:pPr>
    <w:rPr>
      <w:rFonts w:eastAsia="仿宋_GB2312"/>
      <w:sz w:val="32"/>
    </w:rPr>
  </w:style>
  <w:style w:type="paragraph" w:customStyle="1" w:styleId="af8">
    <w:name w:val="段"/>
    <w:pPr>
      <w:autoSpaceDE w:val="0"/>
      <w:autoSpaceDN w:val="0"/>
      <w:ind w:firstLineChars="200" w:firstLine="200"/>
      <w:jc w:val="both"/>
    </w:pPr>
    <w:rPr>
      <w:rFonts w:ascii="宋体"/>
      <w:sz w:val="21"/>
    </w:rPr>
  </w:style>
  <w:style w:type="paragraph" w:customStyle="1" w:styleId="12">
    <w:name w:val="修订1"/>
    <w:rPr>
      <w:rFonts w:ascii="等线" w:hAnsi="等线"/>
      <w:kern w:val="2"/>
      <w:sz w:val="21"/>
    </w:rPr>
  </w:style>
  <w:style w:type="paragraph" w:customStyle="1" w:styleId="af9">
    <w:name w:val="二级标题"/>
    <w:pPr>
      <w:spacing w:line="560" w:lineRule="exact"/>
      <w:ind w:firstLineChars="200" w:firstLine="200"/>
    </w:pPr>
    <w:rPr>
      <w:rFonts w:eastAsia="楷体_GB2312"/>
      <w:sz w:val="32"/>
    </w:rPr>
  </w:style>
  <w:style w:type="paragraph" w:customStyle="1" w:styleId="WPSOffice1">
    <w:name w:val="WPSOffice手动目录 1"/>
  </w:style>
  <w:style w:type="paragraph" w:customStyle="1" w:styleId="23">
    <w:name w:val="标题2"/>
    <w:basedOn w:val="2"/>
    <w:pPr>
      <w:spacing w:before="0" w:after="0" w:line="360" w:lineRule="auto"/>
    </w:pPr>
    <w:rPr>
      <w:rFonts w:eastAsia="宋体"/>
      <w:sz w:val="30"/>
    </w:rPr>
  </w:style>
  <w:style w:type="character" w:customStyle="1" w:styleId="Char">
    <w:name w:val="二级标题 Char"/>
    <w:rPr>
      <w:rFonts w:ascii="Times New Roman" w:eastAsia="楷体_GB2312" w:hAnsi="Times New Roman"/>
      <w:sz w:val="32"/>
    </w:rPr>
  </w:style>
  <w:style w:type="character" w:customStyle="1" w:styleId="afa">
    <w:name w:val="批注主题 字符"/>
    <w:basedOn w:val="afb"/>
    <w:rPr>
      <w:rFonts w:ascii="等线" w:eastAsia="宋体" w:hAnsi="等线"/>
      <w:b/>
      <w:kern w:val="2"/>
      <w:sz w:val="21"/>
    </w:rPr>
  </w:style>
  <w:style w:type="character" w:customStyle="1" w:styleId="afb">
    <w:name w:val="批注文字 字符"/>
    <w:basedOn w:val="a2"/>
    <w:rPr>
      <w:rFonts w:ascii="等线" w:eastAsia="宋体" w:hAnsi="等线"/>
      <w:kern w:val="2"/>
      <w:sz w:val="21"/>
    </w:rPr>
  </w:style>
  <w:style w:type="character" w:customStyle="1" w:styleId="font51">
    <w:name w:val="font51"/>
    <w:basedOn w:val="a2"/>
    <w:rPr>
      <w:rFonts w:ascii="宋体" w:eastAsia="宋体" w:hAnsi="宋体" w:hint="eastAsia"/>
      <w:color w:val="000000"/>
      <w:sz w:val="28"/>
      <w:u w:val="none"/>
    </w:rPr>
  </w:style>
  <w:style w:type="character" w:customStyle="1" w:styleId="font01">
    <w:name w:val="font01"/>
    <w:basedOn w:val="a2"/>
    <w:rPr>
      <w:rFonts w:ascii="宋体" w:eastAsia="宋体" w:hAnsi="宋体" w:hint="eastAsia"/>
      <w:color w:val="000000"/>
      <w:sz w:val="28"/>
      <w:u w:val="none"/>
    </w:rPr>
  </w:style>
  <w:style w:type="character" w:customStyle="1" w:styleId="font31">
    <w:name w:val="font31"/>
    <w:basedOn w:val="a2"/>
    <w:rPr>
      <w:rFonts w:ascii="仿宋_GB2312" w:eastAsia="仿宋_GB2312" w:hAnsi="仿宋_GB2312" w:hint="eastAsia"/>
      <w:color w:val="000000"/>
      <w:sz w:val="28"/>
      <w:u w:val="none"/>
    </w:rPr>
  </w:style>
  <w:style w:type="character" w:customStyle="1" w:styleId="afc">
    <w:name w:val="批注框文本 字符"/>
    <w:basedOn w:val="a2"/>
    <w:rPr>
      <w:rFonts w:ascii="等线" w:eastAsia="宋体" w:hAnsi="等线"/>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4201</Words>
  <Characters>23948</Characters>
  <Application>Microsoft Office Word</Application>
  <DocSecurity>0</DocSecurity>
  <Lines>199</Lines>
  <Paragraphs>56</Paragraphs>
  <ScaleCrop>false</ScaleCrop>
  <Company>杭州市政府</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市府办秘书处</dc:creator>
  <cp:lastModifiedBy>pcdell</cp:lastModifiedBy>
  <cp:revision>3</cp:revision>
  <dcterms:created xsi:type="dcterms:W3CDTF">2021-12-24T14:14:00Z</dcterms:created>
  <dcterms:modified xsi:type="dcterms:W3CDTF">2021-12-31T08:07:00Z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