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3" w:rsidRDefault="00F60E93" w:rsidP="00F60E93">
      <w:pPr>
        <w:pStyle w:val="a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60E93" w:rsidRDefault="00F60E93" w:rsidP="00F60E93">
      <w:pPr>
        <w:pStyle w:val="a5"/>
        <w:ind w:firstLine="4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杭州市医疗质量控制中心考核标准（试行）</w:t>
      </w:r>
    </w:p>
    <w:tbl>
      <w:tblPr>
        <w:tblStyle w:val="a6"/>
        <w:tblW w:w="10395" w:type="dxa"/>
        <w:tblInd w:w="-746" w:type="dxa"/>
        <w:tblLayout w:type="fixed"/>
        <w:tblLook w:val="04A0"/>
      </w:tblPr>
      <w:tblGrid>
        <w:gridCol w:w="1335"/>
        <w:gridCol w:w="2280"/>
        <w:gridCol w:w="5637"/>
        <w:gridCol w:w="1143"/>
      </w:tblGrid>
      <w:tr w:rsidR="00F60E93" w:rsidTr="00A22AA5">
        <w:trPr>
          <w:tblHeader/>
        </w:trPr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评价方法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分值</w:t>
            </w:r>
          </w:p>
        </w:tc>
      </w:tr>
      <w:tr w:rsidR="00F60E93" w:rsidTr="00A22AA5">
        <w:trPr>
          <w:trHeight w:val="756"/>
        </w:trPr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否决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质控中心挂靠单位所在专业发生重大医疗质量安全事件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质控中心挂靠单位所在专业发生省级以上负面通报、或者造成重大社会影响的重大医疗质量安全事件。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不合格</w:t>
            </w:r>
          </w:p>
        </w:tc>
      </w:tr>
      <w:tr w:rsidR="00F60E93" w:rsidTr="00A22AA5"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质控指标监测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质控信息收集、汇总、统计分析、评价反馈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除卫生健康行政部门规定的指标外，定期（原则上一季度一次，具体期限由市卫生健康委另行规定）收集质控相关指标信息，并进行汇总、统计分析、评价，重要指标变异需向市卫生健康委汇报，按照规定时间保质保量完成。未完成的，一次扣2分，完成但不完善的酌情扣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  <w:tr w:rsidR="00F60E93" w:rsidTr="00A22AA5"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质控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有本专业质控标准、评估方法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成立一年内必须制定本专业质控标准和评估方法，未制定的，扣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已制定的，视标准质量酌情扣分。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  <w:tr w:rsidR="00F60E93" w:rsidTr="00A22AA5"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计划总结上报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7月1日前上报半年工作总结，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1月1日前上报年度工作总结和下年度工作计划。工作总结需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包括工作计划落实进度情况和经费使用情况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年度计划未制定的，扣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；制定不完善的，扣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；不按期上报有关总结信息的，扣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工作总结不上报的，每项总结扣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；不按期上报的，每项总结扣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；总结质量不符合要求的，每项总结扣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  <w:tr w:rsidR="00F60E93" w:rsidTr="00A22AA5">
        <w:trPr>
          <w:trHeight w:val="1540"/>
        </w:trPr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定期年度质控督查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11月份前开展年度集中质控检查工作，11月30日前上交质控报告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未开展的，扣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10分。机构覆盖不到位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的，按比例扣分，扣完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10分为止。质控报告不提交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的，扣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5分，延期上报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的，每延期一天扣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0.5分，扣完8分为止。质控报告质量酌情扣分。市级质控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组织未发现问题，而通过其他途径（如媒体、上级检查、等级医院评审等）发现医疗质量管理问题的，每个问题扣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发现属于重大问题的加倍扣分。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  <w:tr w:rsidR="00F60E93" w:rsidTr="00A22AA5"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不定期质控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督查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开展质控抽查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3次，抽查要覆盖所有应查机构。抽查结果有反馈，整改有追踪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未开展的，扣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；机构覆盖不到位的，按比例扣分，扣完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10分为止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；抽查结果未反馈的，每个机构扣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；下次抽查对上次整改情况无追踪，每个机构扣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，追踪不到位的，酌情扣分，扣完为止。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  <w:tr w:rsidR="00F60E93" w:rsidTr="00A22AA5">
        <w:tc>
          <w:tcPr>
            <w:tcW w:w="1335" w:type="dxa"/>
            <w:vMerge w:val="restart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执行卫生行政部门的要求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主任和常务副主任参加市卫健委会议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无故缺席或者请假未准假而缺席的，每人次扣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1人。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5分</w:t>
            </w:r>
          </w:p>
        </w:tc>
      </w:tr>
      <w:tr w:rsidR="00F60E93" w:rsidTr="00A22AA5">
        <w:trPr>
          <w:trHeight w:val="449"/>
        </w:trPr>
        <w:tc>
          <w:tcPr>
            <w:tcW w:w="1335" w:type="dxa"/>
            <w:vMerge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完成卫生行政部门交代的其他任务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按照完成情况，酌情扣分。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  <w:tr w:rsidR="00F60E93" w:rsidTr="00A22AA5">
        <w:trPr>
          <w:trHeight w:val="449"/>
        </w:trPr>
        <w:tc>
          <w:tcPr>
            <w:tcW w:w="1335" w:type="dxa"/>
            <w:vMerge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80" w:type="dxa"/>
            <w:vMerge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做好质控信息化建设，酌情扣分。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2分</w:t>
            </w:r>
          </w:p>
        </w:tc>
      </w:tr>
      <w:tr w:rsidR="00F60E93" w:rsidTr="00A22AA5">
        <w:trPr>
          <w:trHeight w:val="449"/>
        </w:trPr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开展质控培训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每年至少开展一次质控专业培训，培训必须覆盖市级所有被质控机构和质控分中心，鼓励质控培训资源下沉。酌情扣分。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3分</w:t>
            </w:r>
          </w:p>
        </w:tc>
      </w:tr>
      <w:tr w:rsidR="00F60E93" w:rsidTr="00A22AA5"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重大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事件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不发生质控相关重大医疗质量安全事件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质控中心未履职，发生质控相关重大事件，发生在市属市管医疗机构每例扣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20分，质控中心已经质控发现问题但督促整改履职不到位，发生质控相关重大事件，发生在市属市管医疗机构，每例扣10分。发生在区、县（市）下属医疗机构，市质控中心处置不到位，每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例扣5分。可倒扣。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20分</w:t>
            </w:r>
          </w:p>
        </w:tc>
      </w:tr>
      <w:tr w:rsidR="00F60E93" w:rsidTr="00A22AA5">
        <w:tc>
          <w:tcPr>
            <w:tcW w:w="1335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经费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规范使用经费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经费使用符合财务管理规范，得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2分。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财政预算执行率达到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90%以上，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1分，未达到不得分。 </w:t>
            </w:r>
          </w:p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医院增加相应配套经费的，酌情加分。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3分</w:t>
            </w:r>
          </w:p>
        </w:tc>
      </w:tr>
      <w:tr w:rsidR="00F60E93" w:rsidTr="00A22AA5">
        <w:tc>
          <w:tcPr>
            <w:tcW w:w="1335" w:type="dxa"/>
            <w:vMerge w:val="restart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满意度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市属（市管）单位评价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2分，基本满意1分，一般0分，不满意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1分，每个单位打分后，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总分为市属（市管）单位汇总平均分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*2.5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5分</w:t>
            </w:r>
          </w:p>
        </w:tc>
      </w:tr>
      <w:tr w:rsidR="00F60E93" w:rsidTr="00A22AA5">
        <w:tc>
          <w:tcPr>
            <w:tcW w:w="1335" w:type="dxa"/>
            <w:vMerge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区、县（市）卫健局评价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2分，基本满意1分，一般0分，不满意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1分，每个单位打分后，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总分为区、县（市）卫健局汇总平均分。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2分</w:t>
            </w:r>
          </w:p>
        </w:tc>
      </w:tr>
      <w:tr w:rsidR="00F60E93" w:rsidTr="00A22AA5">
        <w:trPr>
          <w:trHeight w:val="671"/>
        </w:trPr>
        <w:tc>
          <w:tcPr>
            <w:tcW w:w="1335" w:type="dxa"/>
            <w:vMerge w:val="restart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加分</w:t>
            </w: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上级质控考核排名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第一名加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10分，第二名加5分，前三名加2分，或获得上级考核评比为优秀质控中心加2分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全省排名第5名以后，每下降1名扣2分（可倒扣），多项考核可累计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  <w:tr w:rsidR="00F60E93" w:rsidTr="00A22AA5">
        <w:tc>
          <w:tcPr>
            <w:tcW w:w="1335" w:type="dxa"/>
            <w:vMerge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工作情况</w:t>
            </w:r>
          </w:p>
        </w:tc>
        <w:tc>
          <w:tcPr>
            <w:tcW w:w="5637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针对国家、省通报相关的质控相关重大问题，能立即制定预案，牵头做好相应的应急处置的，酌情加分。</w:t>
            </w:r>
          </w:p>
        </w:tc>
        <w:tc>
          <w:tcPr>
            <w:tcW w:w="1143" w:type="dxa"/>
            <w:vAlign w:val="center"/>
          </w:tcPr>
          <w:p w:rsidR="00F60E93" w:rsidRDefault="00F60E93" w:rsidP="00A22AA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10分</w:t>
            </w:r>
          </w:p>
        </w:tc>
      </w:tr>
    </w:tbl>
    <w:p w:rsidR="00F60E93" w:rsidRDefault="00F60E93" w:rsidP="00F60E93">
      <w:pPr>
        <w:pStyle w:val="a5"/>
        <w:spacing w:before="0" w:beforeAutospacing="0" w:after="0" w:afterAutospacing="0" w:line="44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/>
          <w:sz w:val="28"/>
          <w:szCs w:val="28"/>
        </w:rPr>
        <w:t>90分及以上优秀，80</w:t>
      </w:r>
      <w:r>
        <w:rPr>
          <w:rFonts w:ascii="仿宋_GB2312" w:eastAsia="仿宋_GB2312" w:hAnsi="仿宋_GB2312" w:cs="仿宋_GB2312" w:hint="eastAsia"/>
          <w:sz w:val="28"/>
          <w:szCs w:val="28"/>
        </w:rPr>
        <w:t>—</w:t>
      </w:r>
      <w:r>
        <w:rPr>
          <w:rFonts w:ascii="仿宋_GB2312" w:eastAsia="仿宋_GB2312" w:hAnsi="仿宋_GB2312" w:cs="仿宋_GB2312"/>
          <w:sz w:val="28"/>
          <w:szCs w:val="28"/>
        </w:rPr>
        <w:t>89分良好，70</w:t>
      </w:r>
      <w:r>
        <w:rPr>
          <w:rFonts w:ascii="仿宋_GB2312" w:eastAsia="仿宋_GB2312" w:hAnsi="仿宋_GB2312" w:cs="仿宋_GB2312" w:hint="eastAsia"/>
          <w:sz w:val="28"/>
          <w:szCs w:val="28"/>
        </w:rPr>
        <w:t>—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</w:rPr>
        <w:t>79分及格，70分以下不及格。</w:t>
      </w:r>
    </w:p>
    <w:p w:rsidR="00103E2B" w:rsidRPr="00F60E93" w:rsidRDefault="00103E2B"/>
    <w:sectPr w:rsidR="00103E2B" w:rsidRPr="00F6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2B" w:rsidRDefault="00103E2B" w:rsidP="00F60E93">
      <w:r>
        <w:separator/>
      </w:r>
    </w:p>
  </w:endnote>
  <w:endnote w:type="continuationSeparator" w:id="1">
    <w:p w:rsidR="00103E2B" w:rsidRDefault="00103E2B" w:rsidP="00F6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2B" w:rsidRDefault="00103E2B" w:rsidP="00F60E93">
      <w:r>
        <w:separator/>
      </w:r>
    </w:p>
  </w:footnote>
  <w:footnote w:type="continuationSeparator" w:id="1">
    <w:p w:rsidR="00103E2B" w:rsidRDefault="00103E2B" w:rsidP="00F60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E93"/>
    <w:rsid w:val="00103E2B"/>
    <w:rsid w:val="00F6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E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E93"/>
    <w:rPr>
      <w:sz w:val="18"/>
      <w:szCs w:val="18"/>
    </w:rPr>
  </w:style>
  <w:style w:type="paragraph" w:styleId="a5">
    <w:name w:val="Normal (Web)"/>
    <w:basedOn w:val="a"/>
    <w:unhideWhenUsed/>
    <w:qFormat/>
    <w:rsid w:val="00F60E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F60E9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Company>Lenovo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2019-12-02T10:55:00Z</dcterms:created>
  <dcterms:modified xsi:type="dcterms:W3CDTF">2019-12-02T10:55:00Z</dcterms:modified>
</cp:coreProperties>
</file>