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《杭州市司法局关于完善法律服务行业</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守信激励和失信惩戒机制的通知》政策解读</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一、修订背景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根据国家发改委关于开展失信约束措施清理规范的工作部署和《省发展改革委关于印发浙江省失信约束措施清理规范工作方案的通知》要求，市司法局</w:t>
      </w:r>
      <w:r>
        <w:rPr>
          <w:rFonts w:hint="eastAsia" w:ascii="仿宋_GB2312" w:hAnsi="宋体" w:eastAsia="仿宋_GB2312" w:cs="宋体"/>
          <w:spacing w:val="2"/>
          <w:kern w:val="0"/>
          <w:sz w:val="32"/>
          <w:szCs w:val="32"/>
          <w:lang w:eastAsia="zh-CN"/>
        </w:rPr>
        <w:t>结合当前法律服务行业管理实际，对</w:t>
      </w:r>
      <w:r>
        <w:rPr>
          <w:rFonts w:hint="eastAsia" w:ascii="仿宋_GB2312" w:eastAsia="仿宋_GB2312"/>
          <w:sz w:val="32"/>
          <w:szCs w:val="32"/>
          <w:lang w:val="en-US" w:eastAsia="zh-CN"/>
        </w:rPr>
        <w:t>杭司〔2017〕59号文件进行修订。</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二、修订依据</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《国务院关于建立完善守信联合激励和失信联合惩戒制度加快推进社会诚信建设的指导意见》（国发〔2016〕33号）</w:t>
      </w:r>
      <w:r>
        <w:rPr>
          <w:rFonts w:hint="eastAsia" w:ascii="仿宋_GB2312" w:hAnsi="仿宋" w:eastAsia="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《国务院办公厅关于加快推进社会信用体系建设构建以信用为基础的新型监管机制的指导意见》（国办发〔2019〕35号）</w:t>
      </w:r>
      <w:r>
        <w:rPr>
          <w:rFonts w:hint="eastAsia" w:ascii="仿宋_GB2312" w:hAnsi="仿宋" w:eastAsia="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《国务院办公厅关于进一步完善失信约束制度构建诚信建设长效机制的指导意见》（国办发〔2020〕49号）</w:t>
      </w:r>
      <w:r>
        <w:rPr>
          <w:rFonts w:hint="eastAsia" w:ascii="仿宋_GB2312" w:hAnsi="仿宋" w:eastAsia="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sz w:val="32"/>
          <w:szCs w:val="32"/>
          <w:lang w:val="en-US" w:eastAsia="zh-CN"/>
        </w:rPr>
        <w:t>4.</w:t>
      </w:r>
      <w:r>
        <w:rPr>
          <w:rFonts w:hint="eastAsia" w:ascii="仿宋_GB2312" w:hAnsi="仿宋" w:eastAsia="仿宋_GB2312" w:cs="仿宋"/>
          <w:sz w:val="32"/>
          <w:szCs w:val="32"/>
        </w:rPr>
        <w:t>《浙江省公共信用信息管理条例》</w:t>
      </w:r>
      <w:r>
        <w:rPr>
          <w:rFonts w:hint="eastAsia" w:ascii="仿宋_GB2312" w:hAnsi="仿宋" w:eastAsia="仿宋_GB2312" w:cs="仿宋"/>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《浙江省公共信用修复管理暂行办法》</w:t>
      </w:r>
      <w:r>
        <w:rPr>
          <w:rFonts w:hint="eastAsia" w:ascii="仿宋_GB2312" w:hAnsi="仿宋" w:eastAsia="仿宋_GB2312" w:cs="仿宋"/>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eastAsia="仿宋_GB2312"/>
          <w:lang w:val="en-US" w:eastAsia="zh-CN"/>
        </w:rPr>
      </w:pPr>
      <w:r>
        <w:rPr>
          <w:rFonts w:hint="eastAsia" w:ascii="仿宋_GB2312" w:eastAsia="仿宋_GB2312"/>
          <w:color w:val="000000"/>
          <w:sz w:val="32"/>
          <w:szCs w:val="32"/>
          <w:u w:val="none"/>
          <w:lang w:val="en-US" w:eastAsia="zh-CN"/>
        </w:rPr>
        <w:t>6.</w:t>
      </w:r>
      <w:r>
        <w:rPr>
          <w:rFonts w:hint="eastAsia" w:ascii="仿宋_GB2312" w:eastAsia="仿宋_GB2312"/>
          <w:color w:val="000000"/>
          <w:sz w:val="32"/>
          <w:szCs w:val="32"/>
          <w:u w:val="none"/>
        </w:rPr>
        <w:t>《杭州市人民政府关于进一步加快我市社会信用体系建设的实施意见》（杭政函〔2015〕62号）</w:t>
      </w:r>
      <w:r>
        <w:rPr>
          <w:rFonts w:hint="eastAsia" w:ascii="仿宋_GB2312" w:eastAsia="仿宋_GB2312"/>
          <w:color w:val="000000"/>
          <w:sz w:val="32"/>
          <w:szCs w:val="32"/>
          <w:u w:val="none"/>
          <w:lang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三、修订说明</w:t>
      </w:r>
    </w:p>
    <w:p>
      <w:pPr>
        <w:pStyle w:val="3"/>
        <w:keepNext w:val="0"/>
        <w:keepLines w:val="0"/>
        <w:pageBreakBefore w:val="0"/>
        <w:widowControl w:val="0"/>
        <w:kinsoku/>
        <w:wordWrap/>
        <w:overflowPunct/>
        <w:topLinePunct w:val="0"/>
        <w:autoSpaceDE/>
        <w:autoSpaceDN/>
        <w:bidi w:val="0"/>
        <w:adjustRightInd/>
        <w:spacing w:after="0" w:line="560" w:lineRule="exact"/>
        <w:ind w:firstLine="664"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snapToGrid w:val="0"/>
          <w:spacing w:val="6"/>
          <w:kern w:val="0"/>
          <w:sz w:val="32"/>
          <w:szCs w:val="32"/>
          <w:lang w:val="en-US" w:eastAsia="zh-CN"/>
        </w:rPr>
        <w:t>（一）主题上侧重完善机制。</w:t>
      </w:r>
      <w:r>
        <w:rPr>
          <w:rFonts w:hint="eastAsia" w:ascii="仿宋_GB2312" w:hAnsi="仿宋" w:eastAsia="仿宋_GB2312" w:cs="仿宋_GB2312"/>
          <w:snapToGrid w:val="0"/>
          <w:spacing w:val="6"/>
          <w:kern w:val="0"/>
          <w:sz w:val="32"/>
          <w:szCs w:val="32"/>
          <w:lang w:eastAsia="zh-CN"/>
        </w:rPr>
        <w:t>根据</w:t>
      </w:r>
      <w:r>
        <w:rPr>
          <w:rFonts w:hint="eastAsia" w:ascii="仿宋_GB2312" w:hAnsi="仿宋" w:eastAsia="仿宋_GB2312" w:cs="仿宋_GB2312"/>
          <w:snapToGrid w:val="0"/>
          <w:spacing w:val="6"/>
          <w:kern w:val="0"/>
          <w:sz w:val="32"/>
          <w:szCs w:val="32"/>
        </w:rPr>
        <w:t>《杭州市信用红黑名单发布制度》</w:t>
      </w:r>
      <w:r>
        <w:rPr>
          <w:rFonts w:hint="eastAsia" w:ascii="仿宋_GB2312" w:hAnsi="仿宋" w:eastAsia="仿宋_GB2312" w:cs="仿宋_GB2312"/>
          <w:snapToGrid w:val="0"/>
          <w:spacing w:val="6"/>
          <w:kern w:val="0"/>
          <w:sz w:val="32"/>
          <w:szCs w:val="32"/>
          <w:lang w:eastAsia="zh-CN"/>
        </w:rPr>
        <w:t>（</w:t>
      </w:r>
      <w:bookmarkStart w:id="0" w:name="FileYear"/>
      <w:r>
        <w:rPr>
          <w:rFonts w:hint="eastAsia" w:ascii="仿宋_GB2312" w:hAnsi="仿宋" w:eastAsia="仿宋_GB2312" w:cs="仿宋_GB2312"/>
          <w:snapToGrid w:val="0"/>
          <w:spacing w:val="6"/>
          <w:kern w:val="0"/>
          <w:sz w:val="32"/>
          <w:szCs w:val="32"/>
        </w:rPr>
        <w:t>杭信办〔2016〕6号</w:t>
      </w:r>
      <w:bookmarkEnd w:id="0"/>
      <w:r>
        <w:rPr>
          <w:rFonts w:hint="eastAsia" w:ascii="仿宋_GB2312" w:hAnsi="仿宋" w:eastAsia="仿宋_GB2312" w:cs="仿宋_GB2312"/>
          <w:snapToGrid w:val="0"/>
          <w:spacing w:val="6"/>
          <w:kern w:val="0"/>
          <w:sz w:val="32"/>
          <w:szCs w:val="32"/>
          <w:lang w:eastAsia="zh-CN"/>
        </w:rPr>
        <w:t>）中关于失信黑名单的定义，以及</w:t>
      </w:r>
      <w:r>
        <w:rPr>
          <w:rFonts w:hint="eastAsia" w:ascii="仿宋_GB2312" w:eastAsia="仿宋_GB2312"/>
          <w:sz w:val="32"/>
          <w:szCs w:val="32"/>
          <w:lang w:eastAsia="zh-CN"/>
        </w:rPr>
        <w:t>《国务院办公厅关于进一步完善失信约束制度构建诚信建设长效机制的指导意见》（国办发〔2020〕49号）中关于严重失信主体认定层级的规定</w:t>
      </w:r>
      <w:bookmarkStart w:id="1" w:name="_GoBack"/>
      <w:bookmarkEnd w:id="1"/>
      <w:r>
        <w:rPr>
          <w:rFonts w:hint="eastAsia" w:ascii="仿宋_GB2312" w:eastAsia="仿宋_GB2312"/>
          <w:sz w:val="32"/>
          <w:szCs w:val="32"/>
          <w:lang w:eastAsia="zh-CN"/>
        </w:rPr>
        <w:t>，</w:t>
      </w:r>
      <w:r>
        <w:rPr>
          <w:rFonts w:hint="eastAsia" w:ascii="仿宋_GB2312" w:eastAsia="仿宋_GB2312"/>
          <w:sz w:val="32"/>
          <w:szCs w:val="32"/>
          <w:lang w:val="en-US" w:eastAsia="zh-CN"/>
        </w:rPr>
        <w:t>将文件主题侧重于完善我市法律服务行业守信激励和失信惩戒工作机制。</w:t>
      </w:r>
    </w:p>
    <w:p>
      <w:pPr>
        <w:pStyle w:val="3"/>
        <w:keepNext w:val="0"/>
        <w:keepLines w:val="0"/>
        <w:pageBreakBefore w:val="0"/>
        <w:widowControl w:val="0"/>
        <w:kinsoku/>
        <w:wordWrap/>
        <w:overflowPunct/>
        <w:topLinePunct w:val="0"/>
        <w:autoSpaceDE/>
        <w:autoSpaceDN/>
        <w:bidi w:val="0"/>
        <w:adjustRightInd/>
        <w:spacing w:after="0" w:line="560" w:lineRule="exact"/>
        <w:ind w:firstLine="664"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snapToGrid w:val="0"/>
          <w:spacing w:val="6"/>
          <w:kern w:val="0"/>
          <w:sz w:val="32"/>
          <w:szCs w:val="32"/>
          <w:lang w:val="en-US" w:eastAsia="zh-CN"/>
        </w:rPr>
        <w:t>（二）结构上侧重程序性。</w:t>
      </w:r>
      <w:r>
        <w:rPr>
          <w:rFonts w:hint="eastAsia" w:ascii="仿宋_GB2312" w:eastAsia="仿宋_GB2312"/>
          <w:sz w:val="32"/>
          <w:szCs w:val="32"/>
          <w:lang w:val="en-US" w:eastAsia="zh-CN"/>
        </w:rPr>
        <w:t>在结构上规定了“信息归集、信用公布、结果应用、异议处理”四个部分，侧重于进一步规范我市法律服务行业守信激励和失信惩戒相关信息的管理程序，即我市</w:t>
      </w:r>
      <w:r>
        <w:rPr>
          <w:rFonts w:hint="eastAsia" w:ascii="仿宋_GB2312" w:hAnsi="仿宋" w:eastAsia="仿宋_GB2312" w:cs="仿宋"/>
          <w:sz w:val="32"/>
          <w:szCs w:val="32"/>
        </w:rPr>
        <w:t>律师事务所、基层法律服务所、公证处、司法鉴定所（中心）等法律服务机构及其持证执业的从业人员</w:t>
      </w:r>
      <w:r>
        <w:rPr>
          <w:rFonts w:hint="eastAsia" w:ascii="仿宋_GB2312" w:hAnsi="仿宋" w:eastAsia="仿宋_GB2312" w:cs="仿宋"/>
          <w:sz w:val="32"/>
          <w:szCs w:val="32"/>
          <w:lang w:eastAsia="zh-CN"/>
        </w:rPr>
        <w:t>的表彰、奖励或行政处罚决定等信息如何归集、发布、应用。</w:t>
      </w:r>
    </w:p>
    <w:p>
      <w:pPr>
        <w:pStyle w:val="3"/>
        <w:keepNext w:val="0"/>
        <w:keepLines w:val="0"/>
        <w:pageBreakBefore w:val="0"/>
        <w:widowControl w:val="0"/>
        <w:kinsoku/>
        <w:wordWrap/>
        <w:overflowPunct/>
        <w:topLinePunct w:val="0"/>
        <w:autoSpaceDE/>
        <w:autoSpaceDN/>
        <w:bidi w:val="0"/>
        <w:adjustRightInd/>
        <w:spacing w:after="0" w:line="560" w:lineRule="exact"/>
        <w:ind w:firstLine="664"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snapToGrid w:val="0"/>
          <w:spacing w:val="6"/>
          <w:kern w:val="0"/>
          <w:sz w:val="32"/>
          <w:szCs w:val="32"/>
          <w:lang w:val="en-US" w:eastAsia="zh-CN"/>
        </w:rPr>
        <w:t>（三）内容上侧重实务性。</w:t>
      </w:r>
      <w:r>
        <w:rPr>
          <w:rFonts w:hint="eastAsia" w:ascii="仿宋_GB2312" w:eastAsia="仿宋_GB2312"/>
          <w:sz w:val="32"/>
          <w:szCs w:val="32"/>
          <w:lang w:val="en-US" w:eastAsia="zh-CN"/>
        </w:rPr>
        <w:t>根据国务院、省、市相关文件要求，结合我市法律服务行业当前管理实际，内容上以法律服务机构实务操作为重点进行了规定：</w:t>
      </w:r>
    </w:p>
    <w:p>
      <w:pPr>
        <w:pStyle w:val="3"/>
        <w:keepNext w:val="0"/>
        <w:keepLines w:val="0"/>
        <w:pageBreakBefore w:val="0"/>
        <w:widowControl w:val="0"/>
        <w:kinsoku/>
        <w:wordWrap/>
        <w:overflowPunct/>
        <w:topLinePunct w:val="0"/>
        <w:autoSpaceDE/>
        <w:autoSpaceDN/>
        <w:bidi w:val="0"/>
        <w:adjustRightInd/>
        <w:spacing w:after="0" w:line="560" w:lineRule="exact"/>
        <w:ind w:firstLine="643" w:firstLineChars="200"/>
        <w:textAlignment w:val="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1.信息归集中，</w:t>
      </w:r>
      <w:r>
        <w:rPr>
          <w:rFonts w:hint="eastAsia" w:ascii="仿宋_GB2312" w:eastAsia="仿宋_GB2312"/>
          <w:b w:val="0"/>
          <w:bCs w:val="0"/>
          <w:sz w:val="32"/>
          <w:szCs w:val="32"/>
          <w:lang w:val="en-US" w:eastAsia="zh-CN"/>
        </w:rPr>
        <w:t>根据</w:t>
      </w:r>
      <w:r>
        <w:rPr>
          <w:rFonts w:hint="eastAsia" w:ascii="仿宋_GB2312" w:hAnsi="仿宋" w:eastAsia="仿宋_GB2312" w:cs="仿宋"/>
          <w:sz w:val="32"/>
          <w:szCs w:val="32"/>
          <w:u w:val="none"/>
        </w:rPr>
        <w:t>表彰、奖励或行政处罚决定</w:t>
      </w:r>
      <w:r>
        <w:rPr>
          <w:rFonts w:hint="eastAsia" w:ascii="仿宋_GB2312" w:hAnsi="仿宋" w:eastAsia="仿宋_GB2312" w:cs="仿宋"/>
          <w:sz w:val="32"/>
          <w:szCs w:val="32"/>
          <w:u w:val="none"/>
          <w:lang w:eastAsia="zh-CN"/>
        </w:rPr>
        <w:t>作出的主体不同，区分了市本级和全市两个层级的信息归集主体。市本级为主体作出的</w:t>
      </w:r>
      <w:r>
        <w:rPr>
          <w:rFonts w:hint="eastAsia" w:ascii="仿宋_GB2312" w:hAnsi="仿宋" w:eastAsia="仿宋_GB2312" w:cs="仿宋"/>
          <w:sz w:val="32"/>
          <w:szCs w:val="32"/>
          <w:u w:val="none"/>
        </w:rPr>
        <w:t>表彰、奖励或行政处罚决定</w:t>
      </w:r>
      <w:r>
        <w:rPr>
          <w:rFonts w:hint="eastAsia" w:ascii="仿宋_GB2312" w:hAnsi="仿宋" w:eastAsia="仿宋_GB2312" w:cs="仿宋"/>
          <w:sz w:val="32"/>
          <w:szCs w:val="32"/>
          <w:u w:val="none"/>
          <w:lang w:eastAsia="zh-CN"/>
        </w:rPr>
        <w:t>在</w:t>
      </w:r>
      <w:r>
        <w:rPr>
          <w:rFonts w:hint="eastAsia" w:ascii="仿宋_GB2312" w:hAnsi="仿宋" w:eastAsia="仿宋_GB2312" w:cs="仿宋"/>
          <w:sz w:val="32"/>
          <w:szCs w:val="32"/>
          <w:u w:val="none"/>
          <w:lang w:val="en-US" w:eastAsia="zh-CN"/>
        </w:rPr>
        <w:t>5个工作日内汇总至市局办公室；全市相关信息每半年汇总一次至市局办公室。</w:t>
      </w:r>
    </w:p>
    <w:p>
      <w:pPr>
        <w:pStyle w:val="3"/>
        <w:keepNext w:val="0"/>
        <w:keepLines w:val="0"/>
        <w:pageBreakBefore w:val="0"/>
        <w:widowControl w:val="0"/>
        <w:kinsoku/>
        <w:wordWrap/>
        <w:overflowPunct/>
        <w:topLinePunct w:val="0"/>
        <w:autoSpaceDE/>
        <w:autoSpaceDN/>
        <w:bidi w:val="0"/>
        <w:adjustRightInd/>
        <w:spacing w:after="0" w:line="560" w:lineRule="exact"/>
        <w:ind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2.信息公布中，</w:t>
      </w:r>
      <w:r>
        <w:rPr>
          <w:rFonts w:hint="eastAsia" w:ascii="仿宋_GB2312" w:hAnsi="仿宋_GB2312" w:eastAsia="仿宋_GB2312" w:cs="仿宋_GB2312"/>
          <w:b/>
          <w:bCs/>
          <w:color w:val="000000"/>
          <w:sz w:val="32"/>
          <w:szCs w:val="32"/>
          <w:lang w:eastAsia="zh-CN"/>
        </w:rPr>
        <w:t>在</w:t>
      </w:r>
      <w:r>
        <w:rPr>
          <w:rFonts w:hint="eastAsia" w:ascii="仿宋_GB2312" w:eastAsia="仿宋_GB2312"/>
          <w:b/>
          <w:bCs/>
          <w:sz w:val="32"/>
          <w:szCs w:val="32"/>
          <w:lang w:val="en-US" w:eastAsia="zh-CN"/>
        </w:rPr>
        <w:t>公布</w:t>
      </w:r>
      <w:r>
        <w:rPr>
          <w:rFonts w:hint="eastAsia" w:ascii="仿宋_GB2312" w:hAnsi="仿宋_GB2312" w:eastAsia="仿宋_GB2312" w:cs="仿宋_GB2312"/>
          <w:b/>
          <w:bCs/>
          <w:color w:val="000000"/>
          <w:sz w:val="32"/>
          <w:szCs w:val="32"/>
          <w:lang w:eastAsia="zh-CN"/>
        </w:rPr>
        <w:t>形式上，</w:t>
      </w:r>
      <w:r>
        <w:rPr>
          <w:rFonts w:hint="eastAsia" w:ascii="仿宋_GB2312" w:hAnsi="仿宋_GB2312" w:eastAsia="仿宋_GB2312" w:cs="仿宋_GB2312"/>
          <w:color w:val="000000"/>
          <w:sz w:val="32"/>
          <w:szCs w:val="32"/>
          <w:lang w:eastAsia="zh-CN"/>
        </w:rPr>
        <w:t>区分了表彰奖励、行政处罚后未提起复议诉讼、复议诉讼后维持原处罚三种情形，</w:t>
      </w:r>
      <w:r>
        <w:rPr>
          <w:rFonts w:hint="eastAsia" w:ascii="仿宋_GB2312" w:eastAsia="仿宋_GB2312"/>
          <w:sz w:val="32"/>
          <w:szCs w:val="32"/>
          <w:lang w:val="en-US" w:eastAsia="zh-CN"/>
        </w:rPr>
        <w:t>与</w:t>
      </w:r>
      <w:r>
        <w:rPr>
          <w:rFonts w:hint="eastAsia" w:ascii="仿宋_GB2312" w:hAnsi="仿宋_GB2312" w:eastAsia="仿宋_GB2312" w:cs="仿宋_GB2312"/>
          <w:color w:val="000000"/>
          <w:sz w:val="32"/>
          <w:szCs w:val="32"/>
          <w:lang w:val="en-US" w:eastAsia="zh-CN"/>
        </w:rPr>
        <w:t>《浙江省公共信用信息管理条例》关于行政处罚信息记入信用档案的相关规定相一致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bCs/>
          <w:color w:val="000000"/>
          <w:sz w:val="32"/>
          <w:szCs w:val="32"/>
          <w:lang w:val="en-US" w:eastAsia="zh-CN"/>
        </w:rPr>
        <w:t>在公布期限上，</w:t>
      </w:r>
      <w:r>
        <w:rPr>
          <w:rFonts w:hint="eastAsia" w:ascii="仿宋_GB2312" w:hAnsi="仿宋_GB2312" w:eastAsia="仿宋_GB2312" w:cs="仿宋_GB2312"/>
          <w:b w:val="0"/>
          <w:bCs w:val="0"/>
          <w:color w:val="000000"/>
          <w:sz w:val="32"/>
          <w:szCs w:val="32"/>
          <w:lang w:val="en-US" w:eastAsia="zh-CN"/>
        </w:rPr>
        <w:t>规定</w:t>
      </w:r>
      <w:r>
        <w:rPr>
          <w:rFonts w:hint="eastAsia" w:ascii="仿宋_GB2312" w:hAnsi="仿宋_GB2312" w:eastAsia="仿宋_GB2312" w:cs="仿宋_GB2312"/>
          <w:b w:val="0"/>
          <w:bCs w:val="0"/>
          <w:color w:val="000000"/>
          <w:sz w:val="32"/>
          <w:szCs w:val="32"/>
          <w:lang w:val="en-US" w:eastAsia="zh-CN"/>
        </w:rPr>
        <w:t>了机构</w:t>
      </w:r>
      <w:r>
        <w:rPr>
          <w:rFonts w:hint="eastAsia" w:ascii="仿宋_GB2312" w:eastAsia="仿宋_GB2312"/>
          <w:sz w:val="32"/>
          <w:szCs w:val="32"/>
          <w:lang w:val="en-US" w:eastAsia="zh-CN"/>
        </w:rPr>
        <w:t>3年、个人5年的期限，与《浙江省法律服务行业失信“黑名单”管理暂行办法》（浙司〔2016〕141号）一致。</w:t>
      </w:r>
    </w:p>
    <w:p>
      <w:pPr>
        <w:pStyle w:val="3"/>
        <w:keepNext w:val="0"/>
        <w:keepLines w:val="0"/>
        <w:pageBreakBefore w:val="0"/>
        <w:widowControl w:val="0"/>
        <w:kinsoku/>
        <w:wordWrap/>
        <w:overflowPunct/>
        <w:topLinePunct w:val="0"/>
        <w:autoSpaceDE/>
        <w:autoSpaceDN/>
        <w:bidi w:val="0"/>
        <w:adjustRightInd/>
        <w:spacing w:after="0" w:line="560" w:lineRule="exact"/>
        <w:ind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3.结果应用中，</w:t>
      </w:r>
      <w:r>
        <w:rPr>
          <w:rFonts w:hint="eastAsia" w:ascii="仿宋_GB2312" w:eastAsia="仿宋_GB2312"/>
          <w:sz w:val="32"/>
          <w:szCs w:val="32"/>
          <w:lang w:val="en-US" w:eastAsia="zh-CN"/>
        </w:rPr>
        <w:t>根据</w:t>
      </w:r>
      <w:r>
        <w:rPr>
          <w:rFonts w:hint="eastAsia" w:ascii="仿宋_GB2312" w:hAnsi="仿宋_GB2312" w:eastAsia="仿宋_GB2312" w:cs="仿宋_GB2312"/>
          <w:color w:val="000000"/>
          <w:sz w:val="32"/>
          <w:szCs w:val="32"/>
          <w:lang w:val="en-US" w:eastAsia="zh-CN"/>
        </w:rPr>
        <w:t>《浙江省公共信用信息管理条例》的相关规定，</w:t>
      </w:r>
      <w:r>
        <w:rPr>
          <w:rFonts w:hint="eastAsia" w:ascii="仿宋_GB2312" w:eastAsia="仿宋_GB2312"/>
          <w:sz w:val="32"/>
          <w:szCs w:val="32"/>
          <w:lang w:val="en-US" w:eastAsia="zh-CN"/>
        </w:rPr>
        <w:t>在惩戒措施中，按照失信程度，区分了重点审查对象、重点监督检查对象、列入严重失信名单的信息主体三种情形，对失信主体的惩戒覆盖更全面。</w:t>
      </w:r>
    </w:p>
    <w:p>
      <w:pPr>
        <w:pStyle w:val="3"/>
        <w:keepNext w:val="0"/>
        <w:keepLines w:val="0"/>
        <w:pageBreakBefore w:val="0"/>
        <w:widowControl w:val="0"/>
        <w:kinsoku/>
        <w:wordWrap/>
        <w:overflowPunct/>
        <w:topLinePunct w:val="0"/>
        <w:autoSpaceDE/>
        <w:autoSpaceDN/>
        <w:bidi w:val="0"/>
        <w:adjustRightInd/>
        <w:spacing w:after="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四、施行时间</w:t>
      </w:r>
    </w:p>
    <w:p>
      <w:pPr>
        <w:pStyle w:val="3"/>
        <w:keepNext w:val="0"/>
        <w:keepLines w:val="0"/>
        <w:pageBreakBefore w:val="0"/>
        <w:widowControl w:val="0"/>
        <w:kinsoku/>
        <w:wordWrap/>
        <w:overflowPunct/>
        <w:topLinePunct w:val="0"/>
        <w:autoSpaceDE/>
        <w:autoSpaceDN/>
        <w:bidi w:val="0"/>
        <w:adjustRightInd/>
        <w:spacing w:after="0" w:line="560" w:lineRule="exact"/>
        <w:ind w:firstLine="640" w:firstLineChars="200"/>
        <w:textAlignment w:val="auto"/>
        <w:rPr>
          <w:rFonts w:hint="eastAsia" w:ascii="仿宋_GB2312" w:hAnsi="仿宋" w:eastAsia="仿宋_GB2312" w:cs="仿宋"/>
          <w:color w:val="auto"/>
          <w:sz w:val="32"/>
          <w:szCs w:val="32"/>
          <w:u w:val="none"/>
        </w:rPr>
      </w:pPr>
      <w:r>
        <w:rPr>
          <w:rFonts w:hint="eastAsia" w:ascii="仿宋_GB2312" w:hAnsi="仿宋" w:eastAsia="仿宋_GB2312" w:cs="仿宋"/>
          <w:sz w:val="32"/>
          <w:szCs w:val="32"/>
        </w:rPr>
        <w:t>本通知自2021年</w:t>
      </w:r>
      <w:r>
        <w:rPr>
          <w:rFonts w:hint="eastAsia" w:ascii="仿宋_GB2312" w:hAnsi="仿宋" w:eastAsia="仿宋_GB2312" w:cs="仿宋"/>
          <w:sz w:val="32"/>
          <w:szCs w:val="32"/>
          <w:lang w:val="en-US" w:eastAsia="zh-CN"/>
        </w:rPr>
        <w:t>12</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日起施行</w:t>
      </w:r>
      <w:r>
        <w:rPr>
          <w:rFonts w:hint="eastAsia" w:ascii="仿宋_GB2312" w:hAnsi="仿宋" w:eastAsia="仿宋_GB2312" w:cs="仿宋"/>
          <w:sz w:val="32"/>
          <w:szCs w:val="32"/>
          <w:u w:val="none"/>
        </w:rPr>
        <w:t>，</w:t>
      </w:r>
      <w:r>
        <w:rPr>
          <w:rFonts w:hint="eastAsia" w:ascii="仿宋_GB2312" w:hAnsi="仿宋" w:eastAsia="仿宋_GB2312" w:cs="仿宋"/>
          <w:color w:val="auto"/>
          <w:sz w:val="32"/>
          <w:szCs w:val="32"/>
          <w:u w:val="none"/>
        </w:rPr>
        <w:t>《关于建立法律服务行业守信红名单和失信黑名单管理制度的通知》（杭司〔2017〕59号）</w:t>
      </w:r>
      <w:r>
        <w:rPr>
          <w:rFonts w:hint="eastAsia" w:ascii="仿宋_GB2312" w:hAnsi="仿宋" w:eastAsia="仿宋_GB2312" w:cs="仿宋"/>
          <w:b w:val="0"/>
          <w:bCs/>
          <w:color w:val="auto"/>
          <w:sz w:val="32"/>
          <w:szCs w:val="32"/>
          <w:u w:val="none"/>
          <w:lang w:eastAsia="zh-CN"/>
        </w:rPr>
        <w:t>同时</w:t>
      </w:r>
      <w:r>
        <w:rPr>
          <w:rFonts w:hint="eastAsia" w:ascii="仿宋_GB2312" w:hAnsi="仿宋" w:eastAsia="仿宋_GB2312" w:cs="仿宋"/>
          <w:color w:val="auto"/>
          <w:sz w:val="32"/>
          <w:szCs w:val="32"/>
          <w:u w:val="none"/>
        </w:rPr>
        <w:t>废止。</w:t>
      </w:r>
    </w:p>
    <w:p>
      <w:pPr>
        <w:pStyle w:val="3"/>
        <w:keepNext w:val="0"/>
        <w:keepLines w:val="0"/>
        <w:pageBreakBefore w:val="0"/>
        <w:widowControl w:val="0"/>
        <w:kinsoku/>
        <w:wordWrap/>
        <w:overflowPunct/>
        <w:topLinePunct w:val="0"/>
        <w:autoSpaceDE/>
        <w:autoSpaceDN/>
        <w:bidi w:val="0"/>
        <w:adjustRightInd/>
        <w:spacing w:after="0" w:line="560" w:lineRule="exact"/>
        <w:textAlignment w:val="auto"/>
        <w:rPr>
          <w:rFonts w:hint="eastAsia" w:ascii="仿宋_GB2312" w:hAnsi="仿宋" w:eastAsia="仿宋_GB2312" w:cs="仿宋"/>
          <w:color w:val="auto"/>
          <w:sz w:val="32"/>
          <w:szCs w:val="32"/>
          <w:u w:val="none"/>
        </w:rPr>
      </w:pPr>
    </w:p>
    <w:p>
      <w:pPr>
        <w:pStyle w:val="3"/>
        <w:keepNext w:val="0"/>
        <w:keepLines w:val="0"/>
        <w:pageBreakBefore w:val="0"/>
        <w:widowControl w:val="0"/>
        <w:kinsoku/>
        <w:wordWrap/>
        <w:overflowPunct/>
        <w:topLinePunct w:val="0"/>
        <w:autoSpaceDE/>
        <w:autoSpaceDN/>
        <w:bidi w:val="0"/>
        <w:adjustRightInd/>
        <w:spacing w:after="0" w:line="560" w:lineRule="exact"/>
        <w:textAlignment w:val="auto"/>
        <w:rPr>
          <w:rFonts w:hint="eastAsia" w:ascii="仿宋_GB2312" w:hAnsi="仿宋" w:eastAsia="仿宋_GB2312" w:cs="仿宋"/>
          <w:color w:val="auto"/>
          <w:sz w:val="32"/>
          <w:szCs w:val="32"/>
          <w:u w:val="none"/>
          <w:lang w:eastAsia="zh-CN"/>
        </w:rPr>
      </w:pPr>
      <w:r>
        <w:rPr>
          <w:rFonts w:hint="eastAsia" w:ascii="仿宋_GB2312" w:hAnsi="仿宋" w:eastAsia="仿宋_GB2312" w:cs="仿宋"/>
          <w:color w:val="auto"/>
          <w:sz w:val="32"/>
          <w:szCs w:val="32"/>
          <w:u w:val="none"/>
          <w:lang w:eastAsia="zh-CN"/>
        </w:rPr>
        <w:t>解读机构：杭州市司法局办公室</w:t>
      </w:r>
    </w:p>
    <w:p>
      <w:pPr>
        <w:pStyle w:val="3"/>
        <w:keepNext w:val="0"/>
        <w:keepLines w:val="0"/>
        <w:pageBreakBefore w:val="0"/>
        <w:widowControl w:val="0"/>
        <w:kinsoku/>
        <w:wordWrap/>
        <w:overflowPunct/>
        <w:topLinePunct w:val="0"/>
        <w:autoSpaceDE/>
        <w:autoSpaceDN/>
        <w:bidi w:val="0"/>
        <w:adjustRightInd/>
        <w:spacing w:after="0" w:line="560" w:lineRule="exact"/>
        <w:textAlignment w:val="auto"/>
        <w:rPr>
          <w:rFonts w:hint="eastAsia" w:ascii="仿宋_GB2312" w:hAnsi="仿宋" w:eastAsia="仿宋_GB2312" w:cs="仿宋"/>
          <w:color w:val="auto"/>
          <w:sz w:val="32"/>
          <w:szCs w:val="32"/>
          <w:u w:val="none"/>
          <w:lang w:eastAsia="zh-CN"/>
        </w:rPr>
      </w:pPr>
      <w:r>
        <w:rPr>
          <w:rFonts w:hint="eastAsia" w:ascii="仿宋_GB2312" w:hAnsi="仿宋" w:eastAsia="仿宋_GB2312" w:cs="仿宋"/>
          <w:color w:val="auto"/>
          <w:sz w:val="32"/>
          <w:szCs w:val="32"/>
          <w:u w:val="none"/>
          <w:lang w:eastAsia="zh-CN"/>
        </w:rPr>
        <w:t>解读人：韩景磊</w:t>
      </w:r>
    </w:p>
    <w:p>
      <w:pPr>
        <w:pStyle w:val="3"/>
        <w:keepNext w:val="0"/>
        <w:keepLines w:val="0"/>
        <w:pageBreakBefore w:val="0"/>
        <w:widowControl w:val="0"/>
        <w:kinsoku/>
        <w:wordWrap/>
        <w:overflowPunct/>
        <w:topLinePunct w:val="0"/>
        <w:autoSpaceDE/>
        <w:autoSpaceDN/>
        <w:bidi w:val="0"/>
        <w:adjustRightInd/>
        <w:spacing w:after="0" w:line="560" w:lineRule="exact"/>
        <w:textAlignment w:val="auto"/>
        <w:rPr>
          <w:rFonts w:hint="default" w:ascii="仿宋_GB2312" w:hAnsi="仿宋" w:eastAsia="仿宋_GB2312" w:cs="仿宋"/>
          <w:color w:val="auto"/>
          <w:sz w:val="32"/>
          <w:szCs w:val="32"/>
          <w:u w:val="none"/>
          <w:lang w:val="en-US" w:eastAsia="zh-CN"/>
        </w:rPr>
      </w:pPr>
      <w:r>
        <w:rPr>
          <w:rFonts w:hint="eastAsia" w:ascii="仿宋_GB2312" w:hAnsi="仿宋" w:eastAsia="仿宋_GB2312" w:cs="仿宋"/>
          <w:color w:val="auto"/>
          <w:sz w:val="32"/>
          <w:szCs w:val="32"/>
          <w:u w:val="none"/>
          <w:lang w:val="en-US" w:eastAsia="zh-CN"/>
        </w:rPr>
        <w:t>联系电话：85256626</w:t>
      </w:r>
    </w:p>
    <w:p>
      <w:pPr>
        <w:pStyle w:val="3"/>
        <w:keepNext w:val="0"/>
        <w:keepLines w:val="0"/>
        <w:pageBreakBefore w:val="0"/>
        <w:widowControl w:val="0"/>
        <w:kinsoku/>
        <w:wordWrap/>
        <w:overflowPunct/>
        <w:topLinePunct w:val="0"/>
        <w:autoSpaceDE/>
        <w:autoSpaceDN/>
        <w:bidi w:val="0"/>
        <w:adjustRightInd/>
        <w:spacing w:after="0" w:line="560" w:lineRule="exact"/>
        <w:textAlignment w:val="auto"/>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D25E2"/>
    <w:rsid w:val="029522DE"/>
    <w:rsid w:val="089A63E7"/>
    <w:rsid w:val="09490BED"/>
    <w:rsid w:val="0EEF0560"/>
    <w:rsid w:val="16C52FF5"/>
    <w:rsid w:val="16DE15E7"/>
    <w:rsid w:val="17CA23C7"/>
    <w:rsid w:val="1AF72EEC"/>
    <w:rsid w:val="20A920B2"/>
    <w:rsid w:val="21A47C94"/>
    <w:rsid w:val="22526F74"/>
    <w:rsid w:val="26571E8F"/>
    <w:rsid w:val="27EA18BA"/>
    <w:rsid w:val="29617E99"/>
    <w:rsid w:val="323D25E2"/>
    <w:rsid w:val="39B714BB"/>
    <w:rsid w:val="3A116A03"/>
    <w:rsid w:val="3E1E4D77"/>
    <w:rsid w:val="3EAF7913"/>
    <w:rsid w:val="40C54402"/>
    <w:rsid w:val="42A00A27"/>
    <w:rsid w:val="505778AB"/>
    <w:rsid w:val="54CF3B9F"/>
    <w:rsid w:val="59242D91"/>
    <w:rsid w:val="69602B90"/>
    <w:rsid w:val="69AF55E7"/>
    <w:rsid w:val="6D145069"/>
    <w:rsid w:val="6F5254EB"/>
    <w:rsid w:val="6FCF34A7"/>
    <w:rsid w:val="74D10D5D"/>
    <w:rsid w:val="780945E5"/>
    <w:rsid w:val="7E752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楷体_GB231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3"/>
    <w:qFormat/>
    <w:uiPriority w:val="0"/>
    <w:pPr>
      <w:jc w:val="left"/>
    </w:pPr>
    <w:rPr>
      <w:rFonts w:ascii="Calibri" w:hAnsi="Calibri"/>
      <w:kern w:val="21"/>
      <w:szCs w:val="21"/>
    </w:rPr>
  </w:style>
  <w:style w:type="paragraph" w:styleId="3">
    <w:name w:val="Body Text"/>
    <w:basedOn w:val="1"/>
    <w:qFormat/>
    <w:uiPriority w:val="0"/>
    <w:pPr>
      <w:spacing w:after="120"/>
    </w:pPr>
  </w:style>
  <w:style w:type="paragraph" w:styleId="5">
    <w:name w:val="Normal Indent"/>
    <w:basedOn w:val="1"/>
    <w:next w:val="6"/>
    <w:qFormat/>
    <w:uiPriority w:val="0"/>
    <w:pPr>
      <w:spacing w:line="560" w:lineRule="exact"/>
      <w:ind w:firstLine="200" w:firstLineChars="200"/>
    </w:pPr>
    <w:rPr>
      <w:rFonts w:ascii="Times New Roman" w:hAnsi="Times New Roman" w:eastAsia="仿宋_GB2312" w:cs="Times New Roman"/>
      <w:sz w:val="32"/>
    </w:rPr>
  </w:style>
  <w:style w:type="paragraph" w:customStyle="1" w:styleId="6">
    <w:name w:val="公文格式"/>
    <w:basedOn w:val="1"/>
    <w:qFormat/>
    <w:uiPriority w:val="0"/>
    <w:pPr>
      <w:spacing w:line="560" w:lineRule="exact"/>
      <w:ind w:firstLine="880" w:firstLineChars="200"/>
      <w:jc w:val="both"/>
    </w:pPr>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2021-09-30T08:31:00Z</dcterms:created>
  <dc:creator>riTTo</dc:creator>
  <cp:lastModifiedBy>riTTo</cp:lastModifiedBy>
  <cp:lastPrinted>2021-10-12T09:00:00Z</cp:lastPrinted>
  <dcterms:modified xsi:type="dcterms:W3CDTF">2021-11-24T02:17:33Z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CC2F5A524854458DB804CD20408C08EE</vt:lpwstr>
  </property>
</Properties>
</file>