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A2" w:rsidRPr="00A95BA2" w:rsidRDefault="00A95BA2" w:rsidP="00A95BA2">
      <w:pPr>
        <w:rPr>
          <w:rFonts w:ascii="仿宋_GB2312" w:eastAsia="仿宋_GB2312" w:hAnsi="Times New Roman" w:cs="Times New Roman"/>
          <w:b/>
          <w:bCs/>
          <w:sz w:val="32"/>
          <w:szCs w:val="32"/>
        </w:rPr>
      </w:pPr>
      <w:r w:rsidRPr="00A95BA2">
        <w:rPr>
          <w:rFonts w:ascii="仿宋_GB2312" w:eastAsia="仿宋_GB2312" w:hAnsi="Times New Roman" w:cs="Times New Roman" w:hint="eastAsia"/>
          <w:b/>
          <w:bCs/>
          <w:sz w:val="32"/>
          <w:szCs w:val="32"/>
        </w:rPr>
        <w:t>附件2</w:t>
      </w:r>
    </w:p>
    <w:p w:rsidR="00A95BA2" w:rsidRPr="00A95BA2" w:rsidRDefault="00A95BA2" w:rsidP="00A95BA2">
      <w:pPr>
        <w:jc w:val="center"/>
        <w:rPr>
          <w:rFonts w:ascii="仿宋_GB2312" w:eastAsia="仿宋_GB2312" w:hAnsi="Times New Roman" w:cs="Times New Roman" w:hint="eastAsia"/>
          <w:b/>
          <w:bCs/>
          <w:sz w:val="32"/>
          <w:szCs w:val="32"/>
        </w:rPr>
      </w:pPr>
      <w:r w:rsidRPr="00A95BA2">
        <w:rPr>
          <w:rFonts w:ascii="仿宋_GB2312" w:eastAsia="仿宋_GB2312" w:hAnsi="Times New Roman" w:cs="Times New Roman" w:hint="eastAsia"/>
          <w:b/>
          <w:bCs/>
          <w:sz w:val="32"/>
          <w:szCs w:val="32"/>
        </w:rPr>
        <w:t>废止失效的规范性文件目录</w:t>
      </w:r>
    </w:p>
    <w:p w:rsidR="00A95BA2" w:rsidRPr="00A95BA2" w:rsidRDefault="00A95BA2" w:rsidP="00A95BA2">
      <w:pPr>
        <w:rPr>
          <w:rFonts w:ascii="Times New Roman" w:eastAsia="宋体" w:hAnsi="Times New Roman" w:cs="Times New Roman" w:hint="eastAsia"/>
          <w:szCs w:val="21"/>
        </w:rPr>
      </w:pPr>
      <w:r w:rsidRPr="00A95BA2">
        <w:rPr>
          <w:rFonts w:ascii="Times New Roman" w:eastAsia="宋体" w:hAnsi="Times New Roman" w:cs="Times New Roman"/>
          <w:szCs w:val="21"/>
        </w:rPr>
        <w:t xml:space="preserve"> </w:t>
      </w:r>
    </w:p>
    <w:p w:rsidR="00A95BA2" w:rsidRPr="00A95BA2" w:rsidRDefault="00A95BA2" w:rsidP="00A95BA2">
      <w:pPr>
        <w:rPr>
          <w:rFonts w:ascii="Times New Roman" w:eastAsia="宋体" w:hAnsi="Times New Roman" w:cs="Times New Roman"/>
          <w:szCs w:val="21"/>
        </w:rPr>
      </w:pPr>
      <w:r w:rsidRPr="00A95BA2">
        <w:rPr>
          <w:rFonts w:ascii="Times New Roman" w:eastAsia="宋体" w:hAnsi="Times New Roman" w:cs="Times New Roman"/>
          <w:szCs w:val="21"/>
        </w:rPr>
        <w:t xml:space="preserve"> </w:t>
      </w:r>
    </w:p>
    <w:tbl>
      <w:tblPr>
        <w:tblW w:w="10290" w:type="dxa"/>
        <w:tblInd w:w="-998" w:type="dxa"/>
        <w:tblLayout w:type="fixed"/>
        <w:tblCellMar>
          <w:top w:w="15" w:type="dxa"/>
          <w:left w:w="15" w:type="dxa"/>
          <w:bottom w:w="15" w:type="dxa"/>
          <w:right w:w="15" w:type="dxa"/>
        </w:tblCellMar>
        <w:tblLook w:val="04A0"/>
      </w:tblPr>
      <w:tblGrid>
        <w:gridCol w:w="733"/>
        <w:gridCol w:w="5567"/>
        <w:gridCol w:w="2475"/>
        <w:gridCol w:w="1515"/>
      </w:tblGrid>
      <w:tr w:rsidR="00A95BA2" w:rsidRPr="00A95BA2" w:rsidTr="00A95BA2">
        <w:trPr>
          <w:trHeight w:val="79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b/>
                <w:bCs/>
                <w:color w:val="000000"/>
                <w:sz w:val="24"/>
                <w:szCs w:val="24"/>
              </w:rPr>
            </w:pPr>
            <w:r w:rsidRPr="00A95BA2">
              <w:rPr>
                <w:rFonts w:ascii="宋体" w:eastAsia="宋体" w:hAnsi="宋体" w:cs="Times New Roman" w:hint="eastAsia"/>
                <w:b/>
                <w:bCs/>
                <w:color w:val="000000"/>
                <w:kern w:val="0"/>
                <w:sz w:val="24"/>
                <w:szCs w:val="24"/>
              </w:rPr>
              <w:t>序号</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b/>
                <w:bCs/>
                <w:color w:val="000000"/>
                <w:sz w:val="24"/>
                <w:szCs w:val="24"/>
              </w:rPr>
            </w:pPr>
            <w:r w:rsidRPr="00A95BA2">
              <w:rPr>
                <w:rFonts w:ascii="宋体" w:eastAsia="宋体" w:hAnsi="宋体" w:cs="Times New Roman" w:hint="eastAsia"/>
                <w:b/>
                <w:bCs/>
                <w:color w:val="000000"/>
                <w:kern w:val="0"/>
                <w:sz w:val="24"/>
                <w:szCs w:val="24"/>
              </w:rPr>
              <w:t>文件名</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b/>
                <w:bCs/>
                <w:color w:val="000000"/>
                <w:sz w:val="24"/>
                <w:szCs w:val="24"/>
              </w:rPr>
            </w:pPr>
            <w:r w:rsidRPr="00A95BA2">
              <w:rPr>
                <w:rFonts w:ascii="宋体" w:eastAsia="宋体" w:hAnsi="宋体" w:cs="Times New Roman" w:hint="eastAsia"/>
                <w:b/>
                <w:bCs/>
                <w:color w:val="000000"/>
                <w:kern w:val="0"/>
                <w:sz w:val="24"/>
                <w:szCs w:val="24"/>
              </w:rPr>
              <w:t>文号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b/>
                <w:bCs/>
                <w:color w:val="000000"/>
                <w:sz w:val="24"/>
                <w:szCs w:val="24"/>
              </w:rPr>
            </w:pPr>
            <w:r w:rsidRPr="00A95BA2">
              <w:rPr>
                <w:rFonts w:ascii="宋体" w:eastAsia="宋体" w:hAnsi="宋体" w:cs="Times New Roman" w:hint="eastAsia"/>
                <w:b/>
                <w:bCs/>
                <w:color w:val="000000"/>
                <w:kern w:val="0"/>
                <w:sz w:val="24"/>
                <w:szCs w:val="24"/>
              </w:rPr>
              <w:t>清理意见</w:t>
            </w:r>
          </w:p>
        </w:tc>
      </w:tr>
      <w:tr w:rsidR="00A95BA2" w:rsidRPr="00A95BA2" w:rsidTr="00A95BA2">
        <w:trPr>
          <w:trHeight w:val="66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1</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关于贯彻落实浙江省财政厅、浙江省国家税务局、浙江省地方税务局《关于财税支持个体工商户转型升级为企业的意见》的通知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杭财预〔2013〕657号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62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关于印发《杭州市市级财政国库集中支付会计核算暂行办法》的通知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杭财库〔2008〕701号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9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关于印发《杭州市政府采购支持中小企业信用融资暂行办法》的通知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杭财采监〔2014〕370号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6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4</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关于印发《杭州市政府采购供应商注册及诚信管理实施办法》的通知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杭财采监〔2015〕8号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19"/>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5</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关于印发《杭州市杰出创业人才扶持培育资金使用管理办法》的通知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杭财行〔2013〕491号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2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6</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关于印发杭州市本级食品安全监管资金管理办法的通知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杭财行〔2015〕48号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0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7</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关于印发杭州市农业综合开发特色园竞争立项工作实施意见的通知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杭财农〔2013〕1159号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24"/>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8</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关于印发《杭州市农村公益金项目和资金管理暂行办法》的通知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杭财农〔2011〕309号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56"/>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9</w:t>
            </w:r>
          </w:p>
        </w:tc>
        <w:tc>
          <w:tcPr>
            <w:tcW w:w="5567" w:type="dxa"/>
            <w:tcBorders>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关于印发《杭州市市级罚没物资管理暂行办法》的通知</w:t>
            </w:r>
          </w:p>
        </w:tc>
        <w:tc>
          <w:tcPr>
            <w:tcW w:w="2475" w:type="dxa"/>
            <w:tcBorders>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杭财费〔2004〕824号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731"/>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10</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关于下发《市本级行政和财政补助事业单位房产出租（租入）管理操作办法》的通知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杭财行〔2006〕1437号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2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11</w:t>
            </w:r>
          </w:p>
        </w:tc>
        <w:tc>
          <w:tcPr>
            <w:tcW w:w="5567" w:type="dxa"/>
            <w:tcBorders>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关于印发《杭州市城市路灯专项资金管理办法》的通知</w:t>
            </w:r>
          </w:p>
        </w:tc>
        <w:tc>
          <w:tcPr>
            <w:tcW w:w="2475" w:type="dxa"/>
            <w:tcBorders>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杭财基〔2005〕853号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626"/>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12</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关于印发《杭州市对口帮扶贵州省黔东南州援建资金使用管理暂行办法》的通知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杭财建〔2013〕863号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3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13</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关于加强民生事业类住房改善专项资金拼盘项目市级补助资金管理的通知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杭财建〔2015〕176号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19"/>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t>14</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sz w:val="22"/>
              </w:rPr>
            </w:pPr>
            <w:r w:rsidRPr="00A95BA2">
              <w:rPr>
                <w:rFonts w:ascii="宋体" w:eastAsia="宋体" w:hAnsi="宋体" w:cs="Times New Roman" w:hint="eastAsia"/>
                <w:kern w:val="0"/>
                <w:sz w:val="22"/>
              </w:rPr>
              <w:t>杭州市政府投资项目工程变更管理暂行办法</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t>杭财建〔2013〕464号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t>全文废止</w:t>
            </w:r>
          </w:p>
        </w:tc>
      </w:tr>
      <w:tr w:rsidR="00A95BA2" w:rsidRPr="00A95BA2" w:rsidTr="00A95BA2">
        <w:trPr>
          <w:trHeight w:val="65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FF0000"/>
                <w:kern w:val="0"/>
                <w:sz w:val="22"/>
              </w:rPr>
            </w:pPr>
            <w:r w:rsidRPr="00A95BA2">
              <w:rPr>
                <w:rFonts w:ascii="宋体" w:eastAsia="宋体" w:hAnsi="宋体" w:cs="Times New Roman" w:hint="eastAsia"/>
                <w:color w:val="FF0000"/>
                <w:kern w:val="0"/>
                <w:sz w:val="22"/>
              </w:rPr>
              <w:t>15</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FF0000"/>
                <w:kern w:val="0"/>
                <w:sz w:val="22"/>
              </w:rPr>
            </w:pPr>
            <w:r w:rsidRPr="00A95BA2">
              <w:rPr>
                <w:rFonts w:ascii="宋体" w:eastAsia="宋体" w:hAnsi="宋体" w:cs="Times New Roman" w:hint="eastAsia"/>
                <w:color w:val="FF0000"/>
                <w:kern w:val="0"/>
                <w:sz w:val="22"/>
              </w:rPr>
              <w:t>关于明确市本级财政投资项目优质工程增加费计取规定的通知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FF0000"/>
                <w:kern w:val="0"/>
                <w:sz w:val="22"/>
              </w:rPr>
            </w:pPr>
            <w:r w:rsidRPr="00A95BA2">
              <w:rPr>
                <w:rFonts w:ascii="宋体" w:eastAsia="宋体" w:hAnsi="宋体" w:cs="Times New Roman" w:hint="eastAsia"/>
                <w:color w:val="FF0000"/>
                <w:kern w:val="0"/>
                <w:sz w:val="22"/>
              </w:rPr>
              <w:t>杭财建〔2013〕687号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FF0000"/>
                <w:kern w:val="0"/>
                <w:sz w:val="22"/>
              </w:rPr>
            </w:pPr>
            <w:r w:rsidRPr="00A95BA2">
              <w:rPr>
                <w:rFonts w:ascii="宋体" w:eastAsia="宋体" w:hAnsi="宋体" w:cs="Times New Roman" w:hint="eastAsia"/>
                <w:color w:val="FF0000"/>
                <w:kern w:val="0"/>
                <w:sz w:val="22"/>
              </w:rPr>
              <w:t>全文废止</w:t>
            </w:r>
          </w:p>
        </w:tc>
      </w:tr>
      <w:tr w:rsidR="00A95BA2" w:rsidRPr="00A95BA2" w:rsidTr="00A95BA2">
        <w:trPr>
          <w:trHeight w:val="65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t>16</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sz w:val="22"/>
              </w:rPr>
            </w:pPr>
            <w:r w:rsidRPr="00A95BA2">
              <w:rPr>
                <w:rFonts w:ascii="宋体" w:eastAsia="宋体" w:hAnsi="宋体" w:cs="Times New Roman" w:hint="eastAsia"/>
                <w:kern w:val="0"/>
                <w:sz w:val="22"/>
              </w:rPr>
              <w:t>关于进一步明确市本级财政投资项目招标控制价审查相关事项的通知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t>杭财基〔2012〕87号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t>全文废止</w:t>
            </w:r>
          </w:p>
        </w:tc>
      </w:tr>
      <w:tr w:rsidR="00A95BA2" w:rsidRPr="00A95BA2" w:rsidTr="00A95BA2">
        <w:trPr>
          <w:trHeight w:val="56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lastRenderedPageBreak/>
              <w:t>17</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sz w:val="22"/>
              </w:rPr>
            </w:pPr>
            <w:r w:rsidRPr="00A95BA2">
              <w:rPr>
                <w:rFonts w:ascii="宋体" w:eastAsia="宋体" w:hAnsi="宋体" w:cs="Times New Roman" w:hint="eastAsia"/>
                <w:kern w:val="0"/>
                <w:sz w:val="22"/>
              </w:rPr>
              <w:t>关于明确本市国有资金投资建设工程招标控制价审查委托服务收费标准的通知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t>杭财基〔2012〕275号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sz w:val="22"/>
              </w:rPr>
            </w:pPr>
            <w:r w:rsidRPr="00A95BA2">
              <w:rPr>
                <w:rFonts w:ascii="宋体" w:eastAsia="宋体" w:hAnsi="宋体" w:cs="Times New Roman" w:hint="eastAsia"/>
                <w:kern w:val="0"/>
                <w:sz w:val="22"/>
              </w:rPr>
              <w:t>全文废止</w:t>
            </w:r>
          </w:p>
        </w:tc>
      </w:tr>
      <w:tr w:rsidR="00A95BA2" w:rsidRPr="00A95BA2" w:rsidTr="00A95BA2">
        <w:trPr>
          <w:trHeight w:val="56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18</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关于印发《杭州市财政性投资建设资金直接拨付具体操作办法》的通知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杭财库〔2003〕648号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429"/>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19</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关于重新修订《财政性投资建设项目预决算审价报审管理办法》的通知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杭财基〔2006〕174号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47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20</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杭州市财政局关于印发《杭州市本级地方财力专项建设资金管理办法》的通知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杭财基〔2006〕1168号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9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21</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杭州市财政局关于印发《杭州市财政专项资金非建设类项目直接拨付管理试行办法》的通知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杭财基〔2008〕671号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0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22</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杭州市财政性投资项目预算管理操作办法</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杭财基〔2011〕778号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69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23</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关于调整市本级财政投资项目招标控制价审查事项的通知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杭财建〔2013〕297号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24</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关于印发《杭州市政府投资项目竣工财务决算委托中介机构审核业务管理操作办法》的通知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杭财建〔2013〕450号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66"/>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25</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关于印发《杭州市政府投资项目工程变更管理暂行办法》的通知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杭财建〔2013〕1246号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7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26</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关于印发《杭州市政府投资项目资金直接拨付管理办法》的通知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杭财建〔2013〕1444号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27</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关于进一步明确本市政府投资项目工程结算审查费用管理相关事项的通知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杭财建〔2014〕109号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28</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关于印发杭州市防汛排涝工程市级补助资金管理暂行办法的通知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杭财建〔2014〕546号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29</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关于印发《杭州都市基础设施建设投资基金资金监管审核操作暂行办法》的通知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杭财建〔2016〕13号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685"/>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30</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关于进一步加强社会保险基金财务管理有关问题的通知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杭财社〔2005〕1057号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31</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关于印发《杭州市科普经费管理暂行办法》的通知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杭财行〔2000〕525号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32</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杭州市财政局关于印发《杭州市旅游西进、旅游发展专项资金直接拨付管理试行办法》的通知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杭财基〔2008〕588号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33</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杭州市财政局 杭州市教育局关于印发杭州市级教育事业专项资金管理办法的通知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杭财教〔2015〕22号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66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34</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关于印发《杭州市市级民办教育发展专项资金管理暂行办法》的通知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杭财教〔2016〕1号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61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35</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《杭州市政府和社会资本合作（PPP）支持基金实施办法（试行）》</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杭财综〔2016〕1号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36</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关于印发《杭州市委托中介机构参与绩效评价工作操作规程（试行）》的通知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杭财绩效〔2011〕546号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54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37</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关于印发《杭州市财政扶持企业项目专项审计报告指导意见（试行）》的通知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杭财企〔2010〕897号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r w:rsidR="00A95BA2" w:rsidRPr="00A95BA2" w:rsidTr="00A95BA2">
        <w:trPr>
          <w:trHeight w:val="780"/>
        </w:trPr>
        <w:tc>
          <w:tcPr>
            <w:tcW w:w="733" w:type="dxa"/>
            <w:tcBorders>
              <w:top w:val="single" w:sz="4" w:space="0" w:color="000000"/>
              <w:left w:val="single" w:sz="4" w:space="0" w:color="000000"/>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lastRenderedPageBreak/>
              <w:t>38</w:t>
            </w:r>
          </w:p>
        </w:tc>
        <w:tc>
          <w:tcPr>
            <w:tcW w:w="5567"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left"/>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杭州市财政局 杭州市经济和信息化委员会关于印发《杭州市市属工业企业搬迁统筹资金操作规程》的通知</w:t>
            </w:r>
          </w:p>
        </w:tc>
        <w:tc>
          <w:tcPr>
            <w:tcW w:w="247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杭财企〔2011〕501号</w:t>
            </w:r>
          </w:p>
        </w:tc>
        <w:tc>
          <w:tcPr>
            <w:tcW w:w="1515" w:type="dxa"/>
            <w:tcBorders>
              <w:top w:val="single" w:sz="4" w:space="0" w:color="000000"/>
              <w:left w:val="nil"/>
              <w:bottom w:val="single" w:sz="4" w:space="0" w:color="000000"/>
              <w:right w:val="single" w:sz="4" w:space="0" w:color="000000"/>
            </w:tcBorders>
            <w:vAlign w:val="center"/>
            <w:hideMark/>
          </w:tcPr>
          <w:p w:rsidR="00A95BA2" w:rsidRPr="00A95BA2" w:rsidRDefault="00A95BA2" w:rsidP="00A95BA2">
            <w:pPr>
              <w:widowControl/>
              <w:jc w:val="center"/>
              <w:textAlignment w:val="center"/>
              <w:rPr>
                <w:rFonts w:ascii="宋体" w:eastAsia="宋体" w:hAnsi="宋体" w:cs="Times New Roman"/>
                <w:color w:val="000000"/>
                <w:sz w:val="22"/>
              </w:rPr>
            </w:pPr>
            <w:r w:rsidRPr="00A95BA2">
              <w:rPr>
                <w:rFonts w:ascii="宋体" w:eastAsia="宋体" w:hAnsi="宋体" w:cs="Times New Roman" w:hint="eastAsia"/>
                <w:color w:val="000000"/>
                <w:kern w:val="0"/>
                <w:sz w:val="22"/>
              </w:rPr>
              <w:t>全文废止</w:t>
            </w:r>
          </w:p>
        </w:tc>
      </w:tr>
    </w:tbl>
    <w:p w:rsidR="00A95BA2" w:rsidRPr="00A95BA2" w:rsidRDefault="00A95BA2" w:rsidP="00A95BA2">
      <w:pPr>
        <w:rPr>
          <w:rFonts w:ascii="Times New Roman" w:eastAsia="宋体" w:hAnsi="Times New Roman" w:cs="Times New Roman"/>
          <w:szCs w:val="21"/>
        </w:rPr>
      </w:pPr>
      <w:r w:rsidRPr="00A95BA2">
        <w:rPr>
          <w:rFonts w:ascii="Times New Roman" w:eastAsia="宋体" w:hAnsi="Times New Roman" w:cs="Times New Roman"/>
          <w:szCs w:val="21"/>
        </w:rPr>
        <w:t xml:space="preserve"> </w:t>
      </w:r>
    </w:p>
    <w:p w:rsidR="00A95BA2" w:rsidRPr="00A95BA2" w:rsidRDefault="00A95BA2" w:rsidP="00A95BA2">
      <w:pPr>
        <w:rPr>
          <w:rFonts w:ascii="Times New Roman" w:eastAsia="宋体" w:hAnsi="Times New Roman" w:cs="Times New Roman"/>
          <w:szCs w:val="21"/>
        </w:rPr>
      </w:pPr>
      <w:r w:rsidRPr="00A95BA2">
        <w:rPr>
          <w:rFonts w:ascii="Times New Roman" w:eastAsia="宋体" w:hAnsi="Times New Roman" w:cs="Times New Roman"/>
          <w:szCs w:val="21"/>
        </w:rPr>
        <w:t xml:space="preserve"> </w:t>
      </w:r>
    </w:p>
    <w:p w:rsidR="00A95BA2" w:rsidRPr="00A95BA2" w:rsidRDefault="00A95BA2" w:rsidP="00A95BA2">
      <w:pPr>
        <w:rPr>
          <w:rFonts w:ascii="Times New Roman" w:eastAsia="宋体" w:hAnsi="Times New Roman" w:cs="Times New Roman"/>
          <w:szCs w:val="21"/>
        </w:rPr>
      </w:pPr>
      <w:r w:rsidRPr="00A95BA2">
        <w:rPr>
          <w:rFonts w:ascii="Times New Roman" w:eastAsia="宋体" w:hAnsi="Times New Roman" w:cs="Times New Roman"/>
          <w:szCs w:val="21"/>
        </w:rPr>
        <w:br w:type="page"/>
      </w:r>
    </w:p>
    <w:p w:rsidR="00565CA0" w:rsidRDefault="00565CA0"/>
    <w:sectPr w:rsidR="00565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CA0" w:rsidRDefault="00565CA0" w:rsidP="00A95BA2">
      <w:r>
        <w:separator/>
      </w:r>
    </w:p>
  </w:endnote>
  <w:endnote w:type="continuationSeparator" w:id="1">
    <w:p w:rsidR="00565CA0" w:rsidRDefault="00565CA0" w:rsidP="00A95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CA0" w:rsidRDefault="00565CA0" w:rsidP="00A95BA2">
      <w:r>
        <w:separator/>
      </w:r>
    </w:p>
  </w:footnote>
  <w:footnote w:type="continuationSeparator" w:id="1">
    <w:p w:rsidR="00565CA0" w:rsidRDefault="00565CA0" w:rsidP="00A95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BA2"/>
    <w:rsid w:val="00565CA0"/>
    <w:rsid w:val="00A95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BA2"/>
    <w:rPr>
      <w:sz w:val="18"/>
      <w:szCs w:val="18"/>
    </w:rPr>
  </w:style>
  <w:style w:type="paragraph" w:styleId="a4">
    <w:name w:val="footer"/>
    <w:basedOn w:val="a"/>
    <w:link w:val="Char0"/>
    <w:uiPriority w:val="99"/>
    <w:semiHidden/>
    <w:unhideWhenUsed/>
    <w:rsid w:val="00A95B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BA2"/>
    <w:rPr>
      <w:sz w:val="18"/>
      <w:szCs w:val="18"/>
    </w:rPr>
  </w:style>
</w:styles>
</file>

<file path=word/webSettings.xml><?xml version="1.0" encoding="utf-8"?>
<w:webSettings xmlns:r="http://schemas.openxmlformats.org/officeDocument/2006/relationships" xmlns:w="http://schemas.openxmlformats.org/wordprocessingml/2006/main">
  <w:divs>
    <w:div w:id="21371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318</Words>
  <Characters>1816</Characters>
  <Application>Microsoft Office Word</Application>
  <DocSecurity>0</DocSecurity>
  <Lines>15</Lines>
  <Paragraphs>4</Paragraphs>
  <ScaleCrop>false</ScaleCrop>
  <Company>Lenovo</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2019-09-29T06:25:00Z</dcterms:created>
  <dcterms:modified xsi:type="dcterms:W3CDTF">2019-09-29T06:26:00Z</dcterms:modified>
</cp:coreProperties>
</file>