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D3" w:rsidRDefault="003159D3" w:rsidP="003159D3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附件3</w:t>
      </w:r>
    </w:p>
    <w:p w:rsidR="003159D3" w:rsidRDefault="003159D3" w:rsidP="003159D3">
      <w:pPr>
        <w:jc w:val="center"/>
        <w:rPr>
          <w:rFonts w:ascii="宋体" w:eastAsia="宋体" w:hAnsi="宋体" w:hint="eastAsia"/>
          <w:sz w:val="44"/>
        </w:rPr>
      </w:pPr>
      <w:r>
        <w:rPr>
          <w:rFonts w:ascii="宋体" w:eastAsia="宋体" w:hAnsi="宋体" w:hint="eastAsia"/>
          <w:sz w:val="44"/>
        </w:rPr>
        <w:t>宣布失效的行政规范性文件目录</w:t>
      </w:r>
    </w:p>
    <w:p w:rsidR="003159D3" w:rsidRDefault="003159D3" w:rsidP="003159D3">
      <w:pPr>
        <w:adjustRightInd w:val="0"/>
        <w:snapToGrid w:val="0"/>
        <w:spacing w:line="240" w:lineRule="auto"/>
        <w:jc w:val="center"/>
        <w:rPr>
          <w:rFonts w:hint="eastAsia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1"/>
        <w:gridCol w:w="3937"/>
        <w:gridCol w:w="2551"/>
        <w:gridCol w:w="1581"/>
      </w:tblGrid>
      <w:tr w:rsidR="003159D3" w:rsidTr="008F5BD1">
        <w:trPr>
          <w:trHeight w:val="754"/>
        </w:trPr>
        <w:tc>
          <w:tcPr>
            <w:tcW w:w="991" w:type="dxa"/>
            <w:vAlign w:val="center"/>
          </w:tcPr>
          <w:p w:rsidR="003159D3" w:rsidRDefault="003159D3" w:rsidP="008F5BD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37" w:type="dxa"/>
            <w:vAlign w:val="center"/>
          </w:tcPr>
          <w:p w:rsidR="003159D3" w:rsidRDefault="003159D3" w:rsidP="008F5BD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规范性文件名称</w:t>
            </w:r>
          </w:p>
        </w:tc>
        <w:tc>
          <w:tcPr>
            <w:tcW w:w="2551" w:type="dxa"/>
            <w:vAlign w:val="center"/>
          </w:tcPr>
          <w:p w:rsidR="003159D3" w:rsidRDefault="003159D3" w:rsidP="008F5BD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文号</w:t>
            </w:r>
          </w:p>
        </w:tc>
        <w:tc>
          <w:tcPr>
            <w:tcW w:w="1581" w:type="dxa"/>
            <w:vAlign w:val="center"/>
          </w:tcPr>
          <w:p w:rsidR="003159D3" w:rsidRDefault="003159D3" w:rsidP="008F5BD1">
            <w:pPr>
              <w:spacing w:line="24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清理意见</w:t>
            </w:r>
          </w:p>
        </w:tc>
      </w:tr>
      <w:tr w:rsidR="003159D3" w:rsidTr="008F5BD1">
        <w:trPr>
          <w:trHeight w:val="1119"/>
        </w:trPr>
        <w:tc>
          <w:tcPr>
            <w:tcW w:w="991" w:type="dxa"/>
            <w:vAlign w:val="center"/>
          </w:tcPr>
          <w:p w:rsidR="003159D3" w:rsidRDefault="003159D3" w:rsidP="008F5BD1">
            <w:pPr>
              <w:spacing w:line="240" w:lineRule="auto"/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3937" w:type="dxa"/>
            <w:vAlign w:val="center"/>
          </w:tcPr>
          <w:p w:rsidR="003159D3" w:rsidRDefault="003159D3" w:rsidP="008F5BD1">
            <w:pPr>
              <w:spacing w:line="240" w:lineRule="auto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关于杭州电网2018年有序用电方案的通知</w:t>
            </w:r>
          </w:p>
        </w:tc>
        <w:tc>
          <w:tcPr>
            <w:tcW w:w="2551" w:type="dxa"/>
            <w:vAlign w:val="center"/>
          </w:tcPr>
          <w:p w:rsidR="003159D3" w:rsidRDefault="003159D3" w:rsidP="008F5BD1">
            <w:pPr>
              <w:spacing w:line="240" w:lineRule="auto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杭经信电力〔2018〕113号</w:t>
            </w:r>
          </w:p>
        </w:tc>
        <w:tc>
          <w:tcPr>
            <w:tcW w:w="1581" w:type="dxa"/>
            <w:vAlign w:val="center"/>
          </w:tcPr>
          <w:p w:rsidR="003159D3" w:rsidRDefault="003159D3" w:rsidP="008F5BD1">
            <w:pPr>
              <w:spacing w:line="240" w:lineRule="auto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宣布失效</w:t>
            </w:r>
          </w:p>
        </w:tc>
      </w:tr>
    </w:tbl>
    <w:p w:rsidR="003159D3" w:rsidRDefault="003159D3" w:rsidP="003159D3">
      <w:pPr>
        <w:jc w:val="center"/>
      </w:pPr>
    </w:p>
    <w:p w:rsidR="003159D3" w:rsidRDefault="003159D3" w:rsidP="003159D3">
      <w:pPr>
        <w:spacing w:line="600" w:lineRule="exact"/>
        <w:rPr>
          <w:rFonts w:ascii="黑体" w:eastAsia="黑体" w:hAnsi="宋体" w:hint="eastAsia"/>
          <w:b/>
          <w:color w:val="000000"/>
          <w:szCs w:val="32"/>
        </w:rPr>
      </w:pPr>
    </w:p>
    <w:p w:rsidR="003159D3" w:rsidRDefault="003159D3" w:rsidP="003159D3">
      <w:pPr>
        <w:spacing w:line="600" w:lineRule="exact"/>
        <w:rPr>
          <w:rFonts w:ascii="黑体" w:eastAsia="黑体" w:hAnsi="宋体" w:hint="eastAsia"/>
          <w:b/>
          <w:color w:val="000000"/>
          <w:szCs w:val="32"/>
        </w:rPr>
      </w:pPr>
    </w:p>
    <w:p w:rsidR="003159D3" w:rsidRDefault="003159D3" w:rsidP="003159D3">
      <w:pPr>
        <w:spacing w:line="600" w:lineRule="exact"/>
        <w:rPr>
          <w:rFonts w:ascii="黑体" w:eastAsia="黑体" w:hAnsi="宋体" w:hint="eastAsia"/>
          <w:b/>
          <w:color w:val="000000"/>
          <w:szCs w:val="32"/>
        </w:rPr>
      </w:pPr>
    </w:p>
    <w:p w:rsidR="004177A9" w:rsidRDefault="004177A9"/>
    <w:sectPr w:rsidR="0041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A9" w:rsidRDefault="004177A9" w:rsidP="003159D3">
      <w:pPr>
        <w:spacing w:line="240" w:lineRule="auto"/>
      </w:pPr>
      <w:r>
        <w:separator/>
      </w:r>
    </w:p>
  </w:endnote>
  <w:endnote w:type="continuationSeparator" w:id="1">
    <w:p w:rsidR="004177A9" w:rsidRDefault="004177A9" w:rsidP="00315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A9" w:rsidRDefault="004177A9" w:rsidP="003159D3">
      <w:pPr>
        <w:spacing w:line="240" w:lineRule="auto"/>
      </w:pPr>
      <w:r>
        <w:separator/>
      </w:r>
    </w:p>
  </w:footnote>
  <w:footnote w:type="continuationSeparator" w:id="1">
    <w:p w:rsidR="004177A9" w:rsidRDefault="004177A9" w:rsidP="003159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9D3"/>
    <w:rsid w:val="003159D3"/>
    <w:rsid w:val="0041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D3"/>
    <w:pPr>
      <w:widowControl w:val="0"/>
      <w:spacing w:line="360" w:lineRule="auto"/>
      <w:jc w:val="both"/>
    </w:pPr>
    <w:rPr>
      <w:rFonts w:ascii="仿宋" w:eastAsia="仿宋_GB2312" w:hAnsi="仿宋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9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59D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59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Lenovo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2019-10-30T07:45:00Z</dcterms:created>
  <dcterms:modified xsi:type="dcterms:W3CDTF">2019-10-30T07:46:00Z</dcterms:modified>
</cp:coreProperties>
</file>