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before="156" w:beforeLines="50" w:beforeAutospacing="0" w:after="156" w:afterLines="50" w:afterAutospacing="0" w:line="360" w:lineRule="auto"/>
        <w:contextualSpacing/>
        <w:jc w:val="center"/>
        <w:rPr>
          <w:rFonts w:hint="eastAsia" w:ascii="方正小标宋_GBK" w:hAnsi="方正小标宋_GBK" w:eastAsia="方正小标宋_GBK" w:cs="方正小标宋_GBK"/>
          <w:b w:val="0"/>
          <w:bCs/>
          <w:color w:val="000000"/>
          <w:kern w:val="0"/>
          <w:sz w:val="44"/>
          <w:szCs w:val="44"/>
          <w:lang w:eastAsia="zh-CN" w:bidi="en-US"/>
        </w:rPr>
      </w:pPr>
      <w:bookmarkStart w:id="32" w:name="_GoBack"/>
      <w:r>
        <w:rPr>
          <w:rFonts w:hint="eastAsia" w:ascii="方正小标宋_GBK" w:hAnsi="方正小标宋_GBK" w:eastAsia="方正小标宋_GBK" w:cs="方正小标宋_GBK"/>
          <w:b w:val="0"/>
          <w:bCs/>
          <w:color w:val="000000"/>
          <w:kern w:val="0"/>
          <w:sz w:val="44"/>
          <w:szCs w:val="44"/>
          <w:lang w:eastAsia="zh-CN" w:bidi="en-US"/>
        </w:rPr>
        <w:t>杭州市会展业发展“十四五”规划</w:t>
      </w:r>
    </w:p>
    <w:bookmarkEnd w:id="32"/>
    <w:p>
      <w:pPr>
        <w:keepNext w:val="0"/>
        <w:keepLines w:val="0"/>
        <w:pageBreakBefore w:val="0"/>
        <w:kinsoku/>
        <w:wordWrap/>
        <w:overflowPunct/>
        <w:topLinePunct w:val="0"/>
        <w:bidi w:val="0"/>
        <w:adjustRightInd/>
        <w:snapToGrid w:val="0"/>
        <w:spacing w:line="560" w:lineRule="exact"/>
        <w:textAlignment w:val="auto"/>
        <w:rPr>
          <w:rFonts w:hint="eastAsia" w:ascii="仿宋_GB2312" w:hAnsi="仿宋_GB2312" w:eastAsia="仿宋_GB2312" w:cs="仿宋_GB2312"/>
          <w:color w:val="auto"/>
          <w:spacing w:val="6"/>
          <w:kern w:val="0"/>
          <w:sz w:val="32"/>
          <w:szCs w:val="32"/>
          <w:lang w:eastAsia="zh-CN" w:bidi="en-US"/>
        </w:rPr>
      </w:pPr>
    </w:p>
    <w:p>
      <w:pPr>
        <w:keepNext w:val="0"/>
        <w:keepLines w:val="0"/>
        <w:widowControl/>
        <w:suppressLineNumbers w:val="0"/>
        <w:spacing w:line="560" w:lineRule="exact"/>
        <w:ind w:firstLine="664" w:firstLineChars="200"/>
        <w:jc w:val="left"/>
        <w:rPr>
          <w:rFonts w:hint="eastAsia" w:ascii="仿宋_GB2312" w:hAnsi="仿宋_GB2312" w:eastAsia="仿宋_GB2312" w:cs="仿宋_GB2312"/>
          <w:color w:val="auto"/>
          <w:spacing w:val="6"/>
          <w:kern w:val="0"/>
          <w:sz w:val="32"/>
          <w:szCs w:val="32"/>
          <w:lang w:eastAsia="zh-CN" w:bidi="en-US"/>
        </w:rPr>
      </w:pPr>
      <w:r>
        <w:rPr>
          <w:rFonts w:hint="eastAsia" w:ascii="仿宋_GB2312" w:hAnsi="仿宋_GB2312" w:eastAsia="仿宋_GB2312" w:cs="仿宋_GB2312"/>
          <w:color w:val="auto"/>
          <w:spacing w:val="6"/>
          <w:kern w:val="0"/>
          <w:sz w:val="32"/>
          <w:szCs w:val="32"/>
          <w:lang w:eastAsia="zh-CN" w:bidi="en-US"/>
        </w:rPr>
        <w:t>会展业是现代服务业的重要组成部分，具有很强的经济集聚效应、辐射带动效应和城市品牌效应，已成为拉动杭州经济发展、促进双循环的重要力量。“十四五”期间，为</w:t>
      </w:r>
      <w:r>
        <w:rPr>
          <w:rFonts w:hint="eastAsia" w:ascii="仿宋_GB2312" w:hAnsi="仿宋_GB2312" w:eastAsia="仿宋_GB2312" w:cs="仿宋_GB2312"/>
          <w:color w:val="auto"/>
          <w:spacing w:val="6"/>
          <w:kern w:val="0"/>
          <w:sz w:val="32"/>
          <w:szCs w:val="32"/>
          <w:lang w:bidi="en-US"/>
        </w:rPr>
        <w:t>促进</w:t>
      </w:r>
      <w:r>
        <w:rPr>
          <w:rFonts w:hint="eastAsia" w:ascii="仿宋_GB2312" w:hAnsi="仿宋_GB2312" w:eastAsia="仿宋_GB2312" w:cs="仿宋_GB2312"/>
          <w:color w:val="auto"/>
          <w:spacing w:val="6"/>
          <w:kern w:val="0"/>
          <w:sz w:val="32"/>
          <w:szCs w:val="32"/>
          <w:lang w:eastAsia="zh-CN" w:bidi="en-US"/>
        </w:rPr>
        <w:t>杭州会展业</w:t>
      </w:r>
      <w:r>
        <w:rPr>
          <w:rFonts w:hint="eastAsia" w:ascii="仿宋_GB2312" w:hAnsi="仿宋_GB2312" w:eastAsia="仿宋_GB2312" w:cs="仿宋_GB2312"/>
          <w:color w:val="auto"/>
          <w:spacing w:val="6"/>
          <w:kern w:val="0"/>
          <w:sz w:val="32"/>
          <w:szCs w:val="32"/>
          <w:lang w:bidi="en-US"/>
        </w:rPr>
        <w:t>高质量</w:t>
      </w:r>
      <w:r>
        <w:rPr>
          <w:rFonts w:hint="eastAsia" w:ascii="仿宋_GB2312" w:hAnsi="仿宋_GB2312" w:eastAsia="仿宋_GB2312" w:cs="仿宋_GB2312"/>
          <w:color w:val="auto"/>
          <w:spacing w:val="6"/>
          <w:kern w:val="0"/>
          <w:sz w:val="32"/>
          <w:szCs w:val="32"/>
          <w:lang w:eastAsia="zh-CN" w:bidi="en-US"/>
        </w:rPr>
        <w:t>发展，根据《关于进一步促进展览业改革发展的若干意见》（国发〔</w:t>
      </w:r>
      <w:r>
        <w:rPr>
          <w:rFonts w:hint="eastAsia" w:ascii="仿宋_GB2312" w:hAnsi="仿宋_GB2312" w:eastAsia="仿宋_GB2312" w:cs="仿宋_GB2312"/>
          <w:color w:val="auto"/>
          <w:spacing w:val="6"/>
          <w:kern w:val="0"/>
          <w:sz w:val="32"/>
          <w:szCs w:val="32"/>
          <w:lang w:val="en-US" w:eastAsia="zh-CN" w:bidi="en-US"/>
        </w:rPr>
        <w:t>2015</w:t>
      </w:r>
      <w:r>
        <w:rPr>
          <w:rFonts w:hint="eastAsia" w:ascii="仿宋_GB2312" w:hAnsi="仿宋_GB2312" w:eastAsia="仿宋_GB2312" w:cs="仿宋_GB2312"/>
          <w:color w:val="auto"/>
          <w:spacing w:val="6"/>
          <w:kern w:val="0"/>
          <w:sz w:val="32"/>
          <w:szCs w:val="32"/>
          <w:lang w:eastAsia="zh-CN" w:bidi="en-US"/>
        </w:rPr>
        <w:t>〕</w:t>
      </w:r>
      <w:r>
        <w:rPr>
          <w:rFonts w:hint="eastAsia" w:ascii="仿宋_GB2312" w:hAnsi="仿宋_GB2312" w:eastAsia="仿宋_GB2312" w:cs="仿宋_GB2312"/>
          <w:color w:val="auto"/>
          <w:spacing w:val="6"/>
          <w:kern w:val="0"/>
          <w:sz w:val="32"/>
          <w:szCs w:val="32"/>
          <w:lang w:val="en-US" w:eastAsia="zh-CN" w:bidi="en-US"/>
        </w:rPr>
        <w:t>15号</w:t>
      </w:r>
      <w:r>
        <w:rPr>
          <w:rFonts w:hint="eastAsia" w:ascii="仿宋_GB2312" w:hAnsi="仿宋_GB2312" w:eastAsia="仿宋_GB2312" w:cs="仿宋_GB2312"/>
          <w:color w:val="auto"/>
          <w:spacing w:val="6"/>
          <w:kern w:val="0"/>
          <w:sz w:val="32"/>
          <w:szCs w:val="32"/>
          <w:lang w:eastAsia="zh-CN" w:bidi="en-US"/>
        </w:rPr>
        <w:t>）、《关于进一步促进展览业发展的实施意见》（浙政办发〔</w:t>
      </w:r>
      <w:r>
        <w:rPr>
          <w:rFonts w:hint="eastAsia" w:ascii="仿宋_GB2312" w:hAnsi="仿宋_GB2312" w:eastAsia="仿宋_GB2312" w:cs="仿宋_GB2312"/>
          <w:color w:val="auto"/>
          <w:spacing w:val="6"/>
          <w:kern w:val="0"/>
          <w:sz w:val="32"/>
          <w:szCs w:val="32"/>
          <w:lang w:val="en-US" w:eastAsia="zh-CN" w:bidi="en-US"/>
        </w:rPr>
        <w:t>2015</w:t>
      </w:r>
      <w:r>
        <w:rPr>
          <w:rFonts w:hint="eastAsia" w:ascii="仿宋_GB2312" w:hAnsi="仿宋_GB2312" w:eastAsia="仿宋_GB2312" w:cs="仿宋_GB2312"/>
          <w:color w:val="auto"/>
          <w:spacing w:val="6"/>
          <w:kern w:val="0"/>
          <w:sz w:val="32"/>
          <w:szCs w:val="32"/>
          <w:lang w:eastAsia="zh-CN" w:bidi="en-US"/>
        </w:rPr>
        <w:t>〕</w:t>
      </w:r>
      <w:r>
        <w:rPr>
          <w:rFonts w:hint="eastAsia" w:ascii="仿宋_GB2312" w:hAnsi="仿宋_GB2312" w:eastAsia="仿宋_GB2312" w:cs="仿宋_GB2312"/>
          <w:color w:val="auto"/>
          <w:spacing w:val="6"/>
          <w:kern w:val="0"/>
          <w:sz w:val="32"/>
          <w:szCs w:val="32"/>
          <w:lang w:val="en-US" w:eastAsia="zh-CN" w:bidi="en-US"/>
        </w:rPr>
        <w:t>131号</w:t>
      </w:r>
      <w:r>
        <w:rPr>
          <w:rFonts w:hint="eastAsia" w:ascii="仿宋_GB2312" w:hAnsi="仿宋_GB2312" w:eastAsia="仿宋_GB2312" w:cs="仿宋_GB2312"/>
          <w:color w:val="auto"/>
          <w:spacing w:val="6"/>
          <w:kern w:val="0"/>
          <w:sz w:val="32"/>
          <w:szCs w:val="32"/>
          <w:lang w:eastAsia="zh-CN" w:bidi="en-US"/>
        </w:rPr>
        <w:t>）、《杭州市国民经济和社会发展第十四个五年规划和二〇三五年远景目标纲要》（</w:t>
      </w:r>
      <w:r>
        <w:rPr>
          <w:rFonts w:hint="eastAsia" w:ascii="仿宋_GB2312" w:hAnsi="仿宋_GB2312" w:eastAsia="仿宋_GB2312" w:cs="仿宋_GB2312"/>
          <w:color w:val="auto"/>
          <w:spacing w:val="6"/>
          <w:kern w:val="0"/>
          <w:sz w:val="32"/>
          <w:szCs w:val="32"/>
          <w:lang w:val="en-US" w:eastAsia="zh-CN" w:bidi="en-US"/>
        </w:rPr>
        <w:t>杭政函〔2021〕20号</w:t>
      </w:r>
      <w:r>
        <w:rPr>
          <w:rFonts w:hint="eastAsia" w:ascii="仿宋_GB2312" w:hAnsi="仿宋_GB2312" w:eastAsia="仿宋_GB2312" w:cs="仿宋_GB2312"/>
          <w:color w:val="auto"/>
          <w:spacing w:val="6"/>
          <w:kern w:val="0"/>
          <w:sz w:val="32"/>
          <w:szCs w:val="32"/>
          <w:lang w:eastAsia="zh-CN" w:bidi="en-US"/>
        </w:rPr>
        <w:t>）、《杭州市会展业促进条例》等精神，特制定本规划。</w:t>
      </w:r>
    </w:p>
    <w:p>
      <w:pPr>
        <w:keepNext w:val="0"/>
        <w:keepLines w:val="0"/>
        <w:pageBreakBefore w:val="0"/>
        <w:kinsoku/>
        <w:wordWrap/>
        <w:overflowPunct/>
        <w:topLinePunct w:val="0"/>
        <w:bidi w:val="0"/>
        <w:adjustRightInd/>
        <w:snapToGrid w:val="0"/>
        <w:spacing w:line="560" w:lineRule="exact"/>
        <w:ind w:leftChars="325" w:hanging="25" w:hangingChars="8"/>
        <w:textAlignment w:val="auto"/>
        <w:outlineLvl w:val="0"/>
        <w:rPr>
          <w:rFonts w:ascii="黑体" w:hAnsi="黑体" w:eastAsia="黑体" w:cs="Times New Roman"/>
          <w:b w:val="0"/>
          <w:bCs/>
          <w:color w:val="auto"/>
          <w:sz w:val="32"/>
          <w:szCs w:val="32"/>
          <w:lang w:val="en-US" w:eastAsia="zh-CN" w:bidi="en-US"/>
        </w:rPr>
      </w:pPr>
      <w:bookmarkStart w:id="0" w:name="_Toc1711247080"/>
      <w:r>
        <w:rPr>
          <w:rFonts w:ascii="黑体" w:hAnsi="黑体" w:eastAsia="黑体" w:cs="Times New Roman"/>
          <w:b w:val="0"/>
          <w:bCs/>
          <w:color w:val="auto"/>
          <w:sz w:val="32"/>
          <w:szCs w:val="32"/>
          <w:lang w:val="en-US" w:eastAsia="zh-CN" w:bidi="en-US"/>
        </w:rPr>
        <w:t>一、发展</w:t>
      </w:r>
      <w:r>
        <w:rPr>
          <w:rFonts w:hint="eastAsia" w:ascii="黑体" w:hAnsi="黑体" w:eastAsia="黑体" w:cs="Times New Roman"/>
          <w:b w:val="0"/>
          <w:bCs/>
          <w:color w:val="auto"/>
          <w:sz w:val="32"/>
          <w:szCs w:val="32"/>
          <w:lang w:val="en-US" w:eastAsia="zh-CN" w:bidi="en-US"/>
        </w:rPr>
        <w:t>现状</w:t>
      </w:r>
      <w:r>
        <w:rPr>
          <w:rFonts w:ascii="黑体" w:hAnsi="黑体" w:eastAsia="黑体" w:cs="Times New Roman"/>
          <w:b w:val="0"/>
          <w:bCs/>
          <w:color w:val="auto"/>
          <w:sz w:val="32"/>
          <w:szCs w:val="32"/>
          <w:lang w:val="en-US" w:eastAsia="zh-CN" w:bidi="en-US"/>
        </w:rPr>
        <w:t>和形势</w:t>
      </w:r>
      <w:bookmarkEnd w:id="0"/>
    </w:p>
    <w:p>
      <w:pPr>
        <w:keepNext w:val="0"/>
        <w:keepLines w:val="0"/>
        <w:pageBreakBefore w:val="0"/>
        <w:kinsoku/>
        <w:wordWrap/>
        <w:overflowPunct/>
        <w:topLinePunct w:val="0"/>
        <w:bidi w:val="0"/>
        <w:adjustRightInd/>
        <w:snapToGrid w:val="0"/>
        <w:spacing w:line="560" w:lineRule="exact"/>
        <w:ind w:leftChars="325" w:hanging="25" w:hangingChars="8"/>
        <w:textAlignment w:val="auto"/>
        <w:outlineLvl w:val="0"/>
        <w:rPr>
          <w:rFonts w:hint="eastAsia" w:ascii="楷体_GB2312" w:hAnsi="Cambria" w:eastAsia="楷体_GB2312" w:cs="Times New Roman"/>
          <w:b w:val="0"/>
          <w:bCs w:val="0"/>
          <w:color w:val="auto"/>
          <w:sz w:val="32"/>
          <w:szCs w:val="32"/>
          <w:lang w:val="en-US" w:eastAsia="zh-CN" w:bidi="en-US"/>
        </w:rPr>
      </w:pPr>
      <w:bookmarkStart w:id="1" w:name="_Toc15050"/>
      <w:bookmarkStart w:id="2" w:name="_Toc846210127"/>
      <w:r>
        <w:rPr>
          <w:rFonts w:hint="eastAsia" w:ascii="楷体_GB2312" w:hAnsi="Cambria" w:eastAsia="楷体_GB2312" w:cs="Times New Roman"/>
          <w:b w:val="0"/>
          <w:bCs w:val="0"/>
          <w:color w:val="auto"/>
          <w:sz w:val="32"/>
          <w:szCs w:val="32"/>
          <w:lang w:val="en-US" w:eastAsia="zh-CN" w:bidi="en-US"/>
        </w:rPr>
        <w:t>（一）发展成就</w:t>
      </w:r>
      <w:bookmarkEnd w:id="1"/>
      <w:bookmarkEnd w:id="2"/>
    </w:p>
    <w:p>
      <w:pPr>
        <w:keepNext w:val="0"/>
        <w:keepLines w:val="0"/>
        <w:pageBreakBefore w:val="0"/>
        <w:kinsoku/>
        <w:wordWrap/>
        <w:overflowPunct/>
        <w:topLinePunct w:val="0"/>
        <w:bidi w:val="0"/>
        <w:adjustRightInd/>
        <w:snapToGrid w:val="0"/>
        <w:spacing w:line="560" w:lineRule="exact"/>
        <w:ind w:firstLine="664" w:firstLineChars="200"/>
        <w:textAlignment w:val="auto"/>
        <w:rPr>
          <w:rFonts w:hint="eastAsia" w:ascii="仿宋_GB2312" w:hAnsi="仿宋_GB2312" w:eastAsia="仿宋_GB2312" w:cs="仿宋_GB2312"/>
          <w:color w:val="auto"/>
          <w:spacing w:val="6"/>
          <w:kern w:val="0"/>
          <w:sz w:val="32"/>
          <w:szCs w:val="32"/>
          <w:lang w:eastAsia="zh-CN" w:bidi="en-US"/>
        </w:rPr>
      </w:pPr>
      <w:r>
        <w:rPr>
          <w:rFonts w:hint="eastAsia" w:ascii="仿宋_GB2312" w:hAnsi="仿宋_GB2312" w:eastAsia="仿宋_GB2312" w:cs="仿宋_GB2312"/>
          <w:color w:val="auto"/>
          <w:spacing w:val="6"/>
          <w:kern w:val="0"/>
          <w:sz w:val="32"/>
          <w:szCs w:val="32"/>
          <w:lang w:eastAsia="zh-CN" w:bidi="en-US"/>
        </w:rPr>
        <w:t>“十三五”期间，杭州市会展业把握G20峰会、前亚运会等国际重要会议、赛事契机，积极发挥城市地位优势、产业优势和营商环境优势，以建设国际会议目的地城市、会展之都、赛事之城为目标，以“国际化主线、市场化转型、专业化运营、品牌化提升、智慧化应用、生态化发展”为主要方向，</w:t>
      </w:r>
      <w:r>
        <w:rPr>
          <w:rFonts w:hint="eastAsia" w:ascii="仿宋_GB2312" w:hAnsi="仿宋_GB2312" w:eastAsia="仿宋_GB2312" w:cs="仿宋_GB2312"/>
          <w:color w:val="auto"/>
          <w:spacing w:val="6"/>
          <w:kern w:val="0"/>
          <w:sz w:val="32"/>
          <w:szCs w:val="32"/>
          <w:lang w:bidi="en-US"/>
        </w:rPr>
        <w:t>会展经济规模和综合效益显著增长。</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黑体" w:eastAsia="仿宋_GB2312" w:cs="Times New Roman"/>
          <w:bCs/>
          <w:color w:val="auto"/>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1.</w:t>
      </w:r>
      <w:r>
        <w:rPr>
          <w:rFonts w:hint="eastAsia" w:ascii="仿宋_GB2312" w:hAnsi="Calibri" w:eastAsia="仿宋_GB2312" w:cs="Times New Roman"/>
          <w:b/>
          <w:color w:val="auto"/>
          <w:spacing w:val="6"/>
          <w:kern w:val="0"/>
          <w:sz w:val="32"/>
          <w:szCs w:val="32"/>
          <w:lang w:eastAsia="en-US" w:bidi="en-US"/>
        </w:rPr>
        <w:t>国际</w:t>
      </w:r>
      <w:r>
        <w:rPr>
          <w:rFonts w:hint="eastAsia" w:ascii="仿宋_GB2312" w:hAnsi="Calibri" w:eastAsia="仿宋_GB2312" w:cs="Times New Roman"/>
          <w:b/>
          <w:color w:val="auto"/>
          <w:spacing w:val="6"/>
          <w:kern w:val="0"/>
          <w:sz w:val="32"/>
          <w:szCs w:val="32"/>
          <w:lang w:eastAsia="zh-CN" w:bidi="en-US"/>
        </w:rPr>
        <w:t>会议目的地城市建设全国领先。</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十三五</w:t>
      </w:r>
      <w:r>
        <w:rPr>
          <w:rFonts w:hint="eastAsia" w:ascii="Calibri" w:hAnsi="Calibri" w:eastAsia="仿宋_GB2312" w:cs="Times New Roman"/>
          <w:color w:val="auto"/>
          <w:spacing w:val="6"/>
          <w:kern w:val="0"/>
          <w:sz w:val="32"/>
          <w:szCs w:val="32"/>
          <w:lang w:eastAsia="zh-CN" w:bidi="en-US"/>
        </w:rPr>
        <w:t>”期间杭州</w:t>
      </w:r>
      <w:r>
        <w:rPr>
          <w:rFonts w:hint="eastAsia" w:ascii="仿宋_GB2312" w:hAnsi="Calibri" w:eastAsia="仿宋_GB2312" w:cs="Times New Roman"/>
          <w:bCs/>
          <w:color w:val="auto"/>
          <w:kern w:val="0"/>
          <w:sz w:val="32"/>
          <w:szCs w:val="32"/>
          <w:lang w:eastAsia="zh-CN" w:bidi="en-US"/>
        </w:rPr>
        <w:t>将打造国际会议</w:t>
      </w:r>
      <w:r>
        <w:rPr>
          <w:rFonts w:hint="eastAsia" w:ascii="Calibri" w:hAnsi="Calibri" w:eastAsia="仿宋_GB2312" w:cs="Times New Roman"/>
          <w:color w:val="auto"/>
          <w:spacing w:val="6"/>
          <w:kern w:val="0"/>
          <w:sz w:val="32"/>
          <w:szCs w:val="32"/>
          <w:lang w:eastAsia="zh-CN" w:bidi="en-US"/>
        </w:rPr>
        <w:t>目的地</w:t>
      </w:r>
      <w:r>
        <w:rPr>
          <w:rFonts w:hint="eastAsia" w:ascii="仿宋_GB2312" w:hAnsi="Calibri" w:eastAsia="仿宋_GB2312" w:cs="Times New Roman"/>
          <w:bCs/>
          <w:color w:val="auto"/>
          <w:kern w:val="0"/>
          <w:sz w:val="32"/>
          <w:szCs w:val="32"/>
          <w:lang w:eastAsia="zh-CN" w:bidi="en-US"/>
        </w:rPr>
        <w:t>城市作为推进城市国际化的重要抓手和发展会展业的首要领域，2016年G20峰会在杭州成功举办，标志着杭州已经具备</w:t>
      </w:r>
      <w:r>
        <w:rPr>
          <w:rFonts w:hint="eastAsia" w:ascii="Times New Roman" w:hAnsi="Calibri" w:eastAsia="仿宋_GB2312" w:cs="Times New Roman"/>
          <w:color w:val="auto"/>
          <w:spacing w:val="6"/>
          <w:kern w:val="0"/>
          <w:sz w:val="32"/>
          <w:szCs w:val="32"/>
          <w:lang w:eastAsia="zh-CN" w:bidi="en-US"/>
        </w:rPr>
        <w:t>承办</w:t>
      </w:r>
      <w:r>
        <w:rPr>
          <w:rFonts w:hint="eastAsia" w:ascii="仿宋_GB2312" w:hAnsi="Calibri" w:eastAsia="仿宋_GB2312" w:cs="Times New Roman"/>
          <w:bCs/>
          <w:color w:val="auto"/>
          <w:kern w:val="0"/>
          <w:sz w:val="32"/>
          <w:szCs w:val="32"/>
          <w:lang w:eastAsia="zh-CN" w:bidi="en-US"/>
        </w:rPr>
        <w:t>大型国际会议的能力。根据</w:t>
      </w:r>
      <w:r>
        <w:rPr>
          <w:rFonts w:hint="eastAsia" w:ascii="仿宋_GB2312" w:hAnsi="Calibri" w:eastAsia="仿宋_GB2312" w:cs="Times New Roman"/>
          <w:bCs/>
          <w:color w:val="auto"/>
          <w:kern w:val="0"/>
          <w:sz w:val="32"/>
          <w:szCs w:val="32"/>
          <w:lang w:bidi="en-US"/>
        </w:rPr>
        <w:t>国际大会</w:t>
      </w:r>
      <w:r>
        <w:rPr>
          <w:rFonts w:hint="eastAsia" w:ascii="仿宋_GB2312" w:hAnsi="Calibri" w:eastAsia="仿宋_GB2312" w:cs="Times New Roman"/>
          <w:bCs/>
          <w:color w:val="auto"/>
          <w:kern w:val="0"/>
          <w:sz w:val="32"/>
          <w:szCs w:val="32"/>
          <w:lang w:eastAsia="zh-CN" w:bidi="en-US"/>
        </w:rPr>
        <w:t>及</w:t>
      </w:r>
      <w:r>
        <w:rPr>
          <w:rFonts w:hint="eastAsia" w:ascii="仿宋_GB2312" w:hAnsi="Calibri" w:eastAsia="仿宋_GB2312" w:cs="Times New Roman"/>
          <w:bCs/>
          <w:color w:val="auto"/>
          <w:kern w:val="0"/>
          <w:sz w:val="32"/>
          <w:szCs w:val="32"/>
          <w:lang w:bidi="en-US"/>
        </w:rPr>
        <w:t>会议协会</w:t>
      </w:r>
      <w:r>
        <w:rPr>
          <w:rFonts w:hint="eastAsia" w:ascii="仿宋_GB2312" w:hAnsi="Calibri" w:eastAsia="仿宋_GB2312" w:cs="Times New Roman"/>
          <w:bCs/>
          <w:color w:val="auto"/>
          <w:kern w:val="0"/>
          <w:sz w:val="32"/>
          <w:szCs w:val="32"/>
          <w:lang w:val="en-US" w:bidi="en-US"/>
        </w:rPr>
        <w:t>(</w:t>
      </w:r>
      <w:r>
        <w:rPr>
          <w:rFonts w:hint="eastAsia" w:ascii="仿宋_GB2312" w:hAnsi="Calibri" w:eastAsia="仿宋_GB2312" w:cs="Times New Roman"/>
          <w:bCs/>
          <w:color w:val="auto"/>
          <w:kern w:val="0"/>
          <w:sz w:val="32"/>
          <w:szCs w:val="32"/>
          <w:lang w:eastAsia="zh-CN" w:bidi="en-US"/>
        </w:rPr>
        <w:t>ICCA</w:t>
      </w:r>
      <w:r>
        <w:rPr>
          <w:rFonts w:hint="eastAsia" w:ascii="仿宋_GB2312" w:hAnsi="Calibri" w:eastAsia="仿宋_GB2312" w:cs="Times New Roman"/>
          <w:bCs/>
          <w:color w:val="auto"/>
          <w:kern w:val="0"/>
          <w:sz w:val="32"/>
          <w:szCs w:val="32"/>
          <w:lang w:val="en-US" w:bidi="en-US"/>
        </w:rPr>
        <w:t>)</w:t>
      </w:r>
      <w:r>
        <w:rPr>
          <w:rFonts w:hint="eastAsia" w:ascii="仿宋_GB2312" w:hAnsi="Calibri" w:eastAsia="仿宋_GB2312" w:cs="Times New Roman"/>
          <w:bCs/>
          <w:color w:val="auto"/>
          <w:kern w:val="0"/>
          <w:sz w:val="32"/>
          <w:szCs w:val="32"/>
          <w:lang w:eastAsia="zh-CN" w:bidi="en-US"/>
        </w:rPr>
        <w:t>发布的2019年全球会议目的地城市榜单，杭州跃居全球第74位、亚太第17位、中国大陆第3位。据统计，</w:t>
      </w:r>
      <w:r>
        <w:rPr>
          <w:rFonts w:hint="eastAsia" w:ascii="仿宋_GB2312" w:hAnsi="Calibri" w:eastAsia="仿宋_GB2312" w:cs="Times New Roman"/>
          <w:color w:val="auto"/>
          <w:spacing w:val="6"/>
          <w:kern w:val="0"/>
          <w:sz w:val="32"/>
          <w:szCs w:val="32"/>
          <w:lang w:eastAsia="zh-CN" w:bidi="en-US"/>
        </w:rPr>
        <w:t>2016-2019年杭州共举办各类会议61751场，年均增长20.01%，其中国际会议1834场。</w:t>
      </w:r>
      <w:r>
        <w:rPr>
          <w:rFonts w:hint="eastAsia" w:ascii="仿宋_GB2312" w:hAnsi="Calibri" w:eastAsia="仿宋_GB2312" w:cs="Times New Roman"/>
          <w:bCs/>
          <w:color w:val="auto"/>
          <w:kern w:val="0"/>
          <w:sz w:val="32"/>
          <w:szCs w:val="32"/>
          <w:lang w:eastAsia="zh-CN" w:bidi="en-US"/>
        </w:rPr>
        <w:t>积极对标巴黎、纽约、伦敦等国际会议目的地城市，成立全国首个国际会议竞标服务中心，吸引高端国际会议落户杭州，成功举办了APEC工商领导人中国论坛及APEC工商咨询理事会会议、中国与中东欧16国文化部长会议等大型国际会议。</w:t>
      </w:r>
      <w:r>
        <w:rPr>
          <w:rFonts w:hint="eastAsia" w:ascii="仿宋_GB2312" w:hAnsi="黑体" w:eastAsia="仿宋_GB2312" w:cs="Times New Roman"/>
          <w:bCs/>
          <w:color w:val="auto"/>
          <w:kern w:val="0"/>
          <w:sz w:val="32"/>
          <w:szCs w:val="32"/>
          <w:lang w:eastAsia="zh-CN" w:bidi="en-US"/>
        </w:rPr>
        <w:t>电器和电子工程学术会议、生物医药学术会议、标准化会议、化学学术会议等四大领域学术会议落户杭州。</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2.会展</w:t>
      </w:r>
      <w:r>
        <w:rPr>
          <w:rFonts w:ascii="Calibri" w:hAnsi="Calibri" w:eastAsia="仿宋_GB2312" w:cs="Times New Roman"/>
          <w:b/>
          <w:color w:val="auto"/>
          <w:spacing w:val="6"/>
          <w:kern w:val="0"/>
          <w:sz w:val="32"/>
          <w:szCs w:val="32"/>
          <w:lang w:eastAsia="zh-CN" w:bidi="en-US"/>
        </w:rPr>
        <w:t>之都</w:t>
      </w:r>
      <w:r>
        <w:rPr>
          <w:rFonts w:hint="eastAsia" w:ascii="Calibri" w:hAnsi="Calibri" w:eastAsia="仿宋_GB2312" w:cs="Times New Roman"/>
          <w:b/>
          <w:color w:val="auto"/>
          <w:spacing w:val="6"/>
          <w:kern w:val="0"/>
          <w:sz w:val="32"/>
          <w:szCs w:val="32"/>
          <w:lang w:eastAsia="zh-CN" w:bidi="en-US"/>
        </w:rPr>
        <w:t>打造取得突破性进展。</w:t>
      </w:r>
      <w:r>
        <w:rPr>
          <w:rFonts w:hint="eastAsia" w:ascii="仿宋_GB2312" w:hAnsi="Calibri" w:eastAsia="仿宋_GB2312" w:cs="Times New Roman"/>
          <w:color w:val="auto"/>
          <w:spacing w:val="6"/>
          <w:kern w:val="0"/>
          <w:sz w:val="32"/>
          <w:szCs w:val="32"/>
          <w:lang w:eastAsia="zh-CN" w:bidi="en-US"/>
        </w:rPr>
        <w:t>加快会展设施建设，总建筑面积</w:t>
      </w:r>
      <w:r>
        <w:rPr>
          <w:rFonts w:hint="eastAsia" w:ascii="仿宋_GB2312" w:hAnsi="Calibri" w:eastAsia="仿宋_GB2312" w:cs="Times New Roman"/>
          <w:color w:val="auto"/>
          <w:spacing w:val="6"/>
          <w:kern w:val="2"/>
          <w:sz w:val="32"/>
          <w:szCs w:val="32"/>
          <w:lang w:eastAsia="zh-CN" w:bidi="en-US"/>
        </w:rPr>
        <w:t>85万平方米、具有4500个</w:t>
      </w:r>
      <w:r>
        <w:rPr>
          <w:rFonts w:hint="eastAsia" w:ascii="仿宋_GB2312" w:hAnsi="Calibri" w:eastAsia="仿宋_GB2312" w:cs="Times New Roman"/>
          <w:color w:val="auto"/>
          <w:spacing w:val="6"/>
          <w:kern w:val="0"/>
          <w:sz w:val="32"/>
          <w:szCs w:val="32"/>
          <w:lang w:eastAsia="zh-CN" w:bidi="en-US"/>
        </w:rPr>
        <w:t>国际</w:t>
      </w:r>
      <w:r>
        <w:rPr>
          <w:rFonts w:hint="eastAsia" w:ascii="仿宋_GB2312" w:hAnsi="Calibri" w:eastAsia="仿宋_GB2312" w:cs="Times New Roman"/>
          <w:color w:val="auto"/>
          <w:spacing w:val="6"/>
          <w:kern w:val="2"/>
          <w:sz w:val="32"/>
          <w:szCs w:val="32"/>
          <w:lang w:eastAsia="zh-CN" w:bidi="en-US"/>
        </w:rPr>
        <w:t>标准展位的</w:t>
      </w:r>
      <w:r>
        <w:rPr>
          <w:rFonts w:hint="eastAsia" w:ascii="仿宋_GB2312" w:hAnsi="Calibri" w:eastAsia="仿宋_GB2312" w:cs="Times New Roman"/>
          <w:color w:val="auto"/>
          <w:spacing w:val="6"/>
          <w:kern w:val="0"/>
          <w:sz w:val="32"/>
          <w:szCs w:val="32"/>
          <w:lang w:eastAsia="zh-CN" w:bidi="en-US"/>
        </w:rPr>
        <w:t>杭州国际博览中心投入使用，解决了杭州大型会展场馆不足的瓶颈。杭州国际博览中心二期启动建设，杭州大会展中心项目开工，杭州和平国际会展中心、浙江世贸展览中心、杭州市国际会议展览中心、白马湖会展中心、浙江展览馆等展馆的软硬件设施得到更新和提升。2016-2019年共举办展览1076场，</w:t>
      </w:r>
      <w:r>
        <w:rPr>
          <w:rFonts w:hint="eastAsia" w:ascii="仿宋_GB2312" w:hAnsi="Calibri" w:eastAsia="仿宋_GB2312" w:cs="Times New Roman"/>
          <w:bCs/>
          <w:color w:val="auto"/>
          <w:kern w:val="0"/>
          <w:sz w:val="32"/>
          <w:szCs w:val="32"/>
          <w:lang w:eastAsia="zh-CN" w:bidi="en-US"/>
        </w:rPr>
        <w:t>与“十二五”相比</w:t>
      </w:r>
      <w:r>
        <w:rPr>
          <w:rFonts w:hint="eastAsia" w:ascii="仿宋_GB2312" w:hAnsi="Calibri" w:eastAsia="仿宋_GB2312" w:cs="Times New Roman"/>
          <w:color w:val="auto"/>
          <w:spacing w:val="6"/>
          <w:kern w:val="0"/>
          <w:sz w:val="32"/>
          <w:szCs w:val="32"/>
          <w:lang w:eastAsia="zh-CN" w:bidi="en-US"/>
        </w:rPr>
        <w:t>增长7%；总展览面积达到1118.75万平方米，增长28%，单个展览面积2万平方米以上的达到132个；其中举办国际展览195场，展览面积277万平方米，</w:t>
      </w:r>
      <w:r>
        <w:rPr>
          <w:rFonts w:hint="eastAsia" w:ascii="仿宋_GB2312" w:hAnsi="Calibri" w:eastAsia="仿宋_GB2312" w:cs="Times New Roman"/>
          <w:bCs/>
          <w:color w:val="auto"/>
          <w:kern w:val="0"/>
          <w:sz w:val="32"/>
          <w:szCs w:val="32"/>
          <w:lang w:eastAsia="zh-CN" w:bidi="en-US"/>
        </w:rPr>
        <w:t>与“十二五”相比</w:t>
      </w:r>
      <w:r>
        <w:rPr>
          <w:rFonts w:hint="eastAsia" w:ascii="仿宋_GB2312" w:hAnsi="Calibri" w:eastAsia="仿宋_GB2312" w:cs="Times New Roman"/>
          <w:color w:val="auto"/>
          <w:spacing w:val="6"/>
          <w:kern w:val="0"/>
          <w:sz w:val="32"/>
          <w:szCs w:val="32"/>
          <w:lang w:eastAsia="zh-CN" w:bidi="en-US"/>
        </w:rPr>
        <w:t>分别增长24%和29%。中国国际茶叶博览会、中国杭州西博车展和</w:t>
      </w:r>
      <w:r>
        <w:rPr>
          <w:rFonts w:hint="eastAsia" w:ascii="仿宋_GB2312" w:hAnsi="Calibri" w:eastAsia="仿宋_GB2312" w:cs="Times New Roman"/>
          <w:color w:val="auto"/>
          <w:spacing w:val="6"/>
          <w:kern w:val="0"/>
          <w:sz w:val="32"/>
          <w:szCs w:val="32"/>
          <w:lang w:val="en-US" w:eastAsia="zh-CN" w:bidi="en-US"/>
        </w:rPr>
        <w:t>中国国际安全生产与职业健康展览会</w:t>
      </w:r>
      <w:r>
        <w:rPr>
          <w:rFonts w:hint="eastAsia" w:ascii="仿宋_GB2312" w:hAnsi="Calibri" w:eastAsia="仿宋_GB2312" w:cs="Times New Roman"/>
          <w:color w:val="auto"/>
          <w:spacing w:val="6"/>
          <w:kern w:val="0"/>
          <w:sz w:val="32"/>
          <w:szCs w:val="32"/>
          <w:lang w:eastAsia="zh-CN" w:bidi="en-US"/>
        </w:rPr>
        <w:t>成功取得</w:t>
      </w:r>
      <w:r>
        <w:rPr>
          <w:rFonts w:hint="eastAsia" w:ascii="仿宋_GB2312" w:hAnsi="Calibri" w:eastAsia="仿宋_GB2312" w:cs="Times New Roman"/>
          <w:bCs/>
          <w:color w:val="auto"/>
          <w:kern w:val="0"/>
          <w:sz w:val="32"/>
          <w:szCs w:val="32"/>
          <w:lang w:eastAsia="zh-CN" w:bidi="en-US"/>
        </w:rPr>
        <w:t>国际展览联盟（UFI）认证</w:t>
      </w:r>
      <w:r>
        <w:rPr>
          <w:rFonts w:hint="eastAsia" w:ascii="仿宋_GB2312" w:hAnsi="Calibri" w:eastAsia="仿宋_GB2312" w:cs="Times New Roman"/>
          <w:color w:val="auto"/>
          <w:spacing w:val="6"/>
          <w:kern w:val="0"/>
          <w:sz w:val="32"/>
          <w:szCs w:val="32"/>
          <w:lang w:eastAsia="zh-CN" w:bidi="en-US"/>
        </w:rPr>
        <w:t>，</w:t>
      </w:r>
      <w:r>
        <w:rPr>
          <w:rFonts w:hint="eastAsia" w:ascii="仿宋_GB2312" w:hAnsi="Calibri" w:eastAsia="仿宋_GB2312" w:cs="Times New Roman"/>
          <w:bCs/>
          <w:color w:val="auto"/>
          <w:kern w:val="0"/>
          <w:sz w:val="32"/>
          <w:szCs w:val="32"/>
          <w:lang w:eastAsia="zh-CN" w:bidi="en-US"/>
        </w:rPr>
        <w:t>实现我市</w:t>
      </w:r>
      <w:r>
        <w:rPr>
          <w:rFonts w:hint="eastAsia" w:ascii="仿宋_GB2312" w:hAnsi="Calibri" w:eastAsia="仿宋_GB2312" w:cs="Times New Roman"/>
          <w:bCs/>
          <w:color w:val="auto"/>
          <w:kern w:val="0"/>
          <w:sz w:val="32"/>
          <w:szCs w:val="32"/>
          <w:lang w:bidi="en-US"/>
        </w:rPr>
        <w:t>该</w:t>
      </w:r>
      <w:r>
        <w:rPr>
          <w:rFonts w:hint="eastAsia" w:ascii="仿宋_GB2312" w:hAnsi="Calibri" w:eastAsia="仿宋_GB2312" w:cs="Times New Roman"/>
          <w:bCs/>
          <w:color w:val="auto"/>
          <w:kern w:val="0"/>
          <w:sz w:val="32"/>
          <w:szCs w:val="32"/>
          <w:lang w:eastAsia="zh-CN" w:bidi="en-US"/>
        </w:rPr>
        <w:t>认证项目零突破。2019年西博会（休博会）邀请了40多个“一带一路”沿线国家城市参加，“海外杭州”会展平台对标国际标准，持续为国家推进“一带一路”建设贡献“杭州力量”。</w:t>
      </w:r>
    </w:p>
    <w:p>
      <w:pPr>
        <w:keepNext w:val="0"/>
        <w:keepLines w:val="0"/>
        <w:pageBreakBefore w:val="0"/>
        <w:kinsoku/>
        <w:wordWrap/>
        <w:overflowPunct/>
        <w:topLinePunct w:val="0"/>
        <w:bidi w:val="0"/>
        <w:adjustRightInd/>
        <w:snapToGrid w:val="0"/>
        <w:spacing w:line="560" w:lineRule="exact"/>
        <w:ind w:left="0" w:leftChars="0" w:firstLine="642" w:firstLineChars="200"/>
        <w:contextualSpacing/>
        <w:textAlignment w:val="auto"/>
        <w:rPr>
          <w:rFonts w:hint="eastAsia" w:ascii="仿宋_GB2312" w:hAnsi="Calibri" w:eastAsia="仿宋_GB2312" w:cs="Times New Roman"/>
          <w:b/>
          <w:color w:val="auto"/>
          <w:spacing w:val="6"/>
          <w:sz w:val="32"/>
          <w:szCs w:val="32"/>
          <w:lang w:val="en-US" w:eastAsia="zh-CN" w:bidi="en-US"/>
        </w:rPr>
      </w:pPr>
      <w:r>
        <w:rPr>
          <w:rFonts w:hint="eastAsia" w:ascii="仿宋_GB2312" w:hAnsi="Calibri" w:eastAsia="仿宋_GB2312" w:cs="Times New Roman"/>
          <w:b/>
          <w:color w:val="auto"/>
          <w:sz w:val="32"/>
          <w:szCs w:val="32"/>
          <w:lang w:val="en-US" w:eastAsia="zh-CN" w:bidi="en-US"/>
        </w:rPr>
        <w:t>3</w:t>
      </w:r>
      <w:r>
        <w:rPr>
          <w:rFonts w:hint="eastAsia" w:ascii="仿宋_GB2312" w:hAnsi="Calibri" w:eastAsia="仿宋_GB2312" w:cs="Times New Roman"/>
          <w:b/>
          <w:color w:val="auto"/>
          <w:spacing w:val="6"/>
          <w:sz w:val="32"/>
          <w:szCs w:val="32"/>
          <w:lang w:val="en-US" w:eastAsia="zh-CN" w:bidi="en-US"/>
        </w:rPr>
        <w:t>.发展模式不断创新。</w:t>
      </w:r>
      <w:r>
        <w:rPr>
          <w:rFonts w:hint="eastAsia" w:ascii="仿宋_GB2312" w:hAnsi="Calibri" w:eastAsia="仿宋_GB2312" w:cs="Times New Roman"/>
          <w:bCs/>
          <w:color w:val="auto"/>
          <w:sz w:val="32"/>
          <w:szCs w:val="32"/>
          <w:lang w:val="en-US" w:eastAsia="zh-CN" w:bidi="en-US"/>
        </w:rPr>
        <w:t>传统品牌会展项目</w:t>
      </w:r>
      <w:r>
        <w:rPr>
          <w:rFonts w:hint="eastAsia" w:ascii="仿宋_GB2312" w:hAnsi="Calibri" w:eastAsia="仿宋_GB2312" w:cs="Times New Roman"/>
          <w:color w:val="auto"/>
          <w:spacing w:val="6"/>
          <w:sz w:val="32"/>
          <w:szCs w:val="32"/>
          <w:lang w:val="en-US" w:eastAsia="zh-CN" w:bidi="en-US"/>
        </w:rPr>
        <w:t>通过品牌强强联合、资源整合、线上线下联合办展等方式不断创新，品牌效应和项目能级得到大幅提升。</w:t>
      </w:r>
      <w:r>
        <w:rPr>
          <w:rFonts w:hint="eastAsia" w:ascii="仿宋_GB2312" w:hAnsi="Calibri" w:eastAsia="仿宋_GB2312" w:cs="Times New Roman"/>
          <w:bCs/>
          <w:color w:val="auto"/>
          <w:sz w:val="32"/>
          <w:szCs w:val="32"/>
          <w:lang w:val="en-US" w:eastAsia="zh-CN" w:bidi="en-US"/>
        </w:rPr>
        <w:t>2017年第十九届中国杭州西湖国际博览会、第三届世界休闲博览会通过“两会合一”的方式举办。</w:t>
      </w:r>
      <w:r>
        <w:rPr>
          <w:rFonts w:hint="eastAsia" w:ascii="仿宋_GB2312" w:hAnsi="Calibri" w:eastAsia="仿宋_GB2312" w:cs="Times New Roman"/>
          <w:color w:val="auto"/>
          <w:spacing w:val="6"/>
          <w:sz w:val="32"/>
          <w:szCs w:val="32"/>
          <w:lang w:val="en-US" w:eastAsia="zh-CN" w:bidi="en-US"/>
        </w:rPr>
        <w:t>新兴会展在内容、形式上</w:t>
      </w:r>
      <w:r>
        <w:rPr>
          <w:rFonts w:hint="eastAsia" w:ascii="仿宋_GB2312" w:hAnsi="Calibri" w:eastAsia="仿宋_GB2312" w:cs="Times New Roman"/>
          <w:bCs/>
          <w:color w:val="auto"/>
          <w:sz w:val="32"/>
          <w:szCs w:val="32"/>
          <w:lang w:val="en-US" w:eastAsia="zh-CN" w:bidi="en-US"/>
        </w:rPr>
        <w:t>持续创新，塑造了新的品牌形象，成功举办了杭州云栖大会、2050大会、AI Cloud生态大会、淘宝造物节、未来生活节、杭州国际日、万物生长大会等项目。积极探索会展业与杭州主导特色产业联动发展模式</w:t>
      </w:r>
      <w:r>
        <w:rPr>
          <w:rFonts w:hint="eastAsia" w:ascii="仿宋_GB2312" w:hAnsi="Calibri" w:eastAsia="仿宋_GB2312" w:cs="Times New Roman"/>
          <w:b/>
          <w:bCs/>
          <w:color w:val="auto"/>
          <w:sz w:val="32"/>
          <w:szCs w:val="32"/>
          <w:lang w:val="en-US" w:eastAsia="zh-CN" w:bidi="en-US"/>
        </w:rPr>
        <w:t>，</w:t>
      </w:r>
      <w:r>
        <w:rPr>
          <w:rFonts w:hint="eastAsia" w:ascii="仿宋_GB2312" w:hAnsi="Calibri" w:eastAsia="仿宋_GB2312" w:cs="Times New Roman"/>
          <w:bCs/>
          <w:color w:val="auto"/>
          <w:sz w:val="32"/>
          <w:szCs w:val="32"/>
          <w:lang w:val="en-US" w:eastAsia="zh-CN" w:bidi="en-US"/>
        </w:rPr>
        <w:t>围绕文化产业、休闲旅游、高新技术、电子商务、丝绸女装、信息电子、工艺美术等产业，培育了智能产品博览会、美食博览会、文化创意产业博览会、电子商务博览会、工艺美术博览会等特色会展项目。</w:t>
      </w:r>
      <w:r>
        <w:rPr>
          <w:rFonts w:hint="eastAsia" w:ascii="仿宋_GB2312" w:hAnsi="Calibri" w:eastAsia="仿宋_GB2312" w:cs="Times New Roman"/>
          <w:color w:val="auto"/>
          <w:spacing w:val="6"/>
          <w:sz w:val="32"/>
          <w:szCs w:val="32"/>
          <w:lang w:val="en-US" w:eastAsia="zh-CN" w:bidi="en-US"/>
        </w:rPr>
        <w:t>借助</w:t>
      </w:r>
      <w:r>
        <w:rPr>
          <w:rFonts w:hint="eastAsia" w:ascii="仿宋_GB2312" w:hAnsi="黑体" w:eastAsia="仿宋_GB2312" w:cs="Times New Roman"/>
          <w:bCs/>
          <w:color w:val="auto"/>
          <w:sz w:val="32"/>
          <w:szCs w:val="32"/>
          <w:lang w:val="en-US" w:eastAsia="zh-CN" w:bidi="en-US"/>
        </w:rPr>
        <w:t>“海外杭州”</w:t>
      </w:r>
      <w:r>
        <w:rPr>
          <w:rFonts w:hint="eastAsia" w:ascii="仿宋_GB2312" w:hAnsi="Calibri" w:eastAsia="仿宋_GB2312" w:cs="Times New Roman"/>
          <w:color w:val="auto"/>
          <w:spacing w:val="6"/>
          <w:sz w:val="32"/>
          <w:szCs w:val="32"/>
          <w:lang w:val="en-US" w:eastAsia="zh-CN" w:bidi="en-US"/>
        </w:rPr>
        <w:t>10场实体展会原有基础，转型策划举办10场在线数字贸易展览会。</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4"/>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4.市场化转型成效</w:t>
      </w:r>
      <w:r>
        <w:rPr>
          <w:rFonts w:hint="eastAsia" w:ascii="仿宋_GB2312" w:hAnsi="Calibri" w:eastAsia="仿宋_GB2312" w:cs="Times New Roman"/>
          <w:b/>
          <w:color w:val="auto"/>
          <w:spacing w:val="6"/>
          <w:kern w:val="0"/>
          <w:sz w:val="32"/>
          <w:szCs w:val="32"/>
          <w:lang w:bidi="en-US"/>
        </w:rPr>
        <w:t>明显</w:t>
      </w:r>
      <w:r>
        <w:rPr>
          <w:rFonts w:hint="eastAsia" w:ascii="仿宋_GB2312" w:hAnsi="Calibri" w:eastAsia="仿宋_GB2312" w:cs="Times New Roman"/>
          <w:b/>
          <w:color w:val="auto"/>
          <w:spacing w:val="6"/>
          <w:kern w:val="0"/>
          <w:sz w:val="32"/>
          <w:szCs w:val="32"/>
          <w:lang w:eastAsia="zh-CN" w:bidi="en-US"/>
        </w:rPr>
        <w:t>。</w:t>
      </w:r>
      <w:r>
        <w:rPr>
          <w:rFonts w:hint="eastAsia" w:ascii="仿宋_GB2312" w:hAnsi="黑体" w:eastAsia="仿宋_GB2312" w:cs="Times New Roman"/>
          <w:bCs/>
          <w:color w:val="auto"/>
          <w:kern w:val="0"/>
          <w:sz w:val="32"/>
          <w:szCs w:val="32"/>
          <w:lang w:eastAsia="zh-CN" w:bidi="en-US"/>
        </w:rPr>
        <w:t>原杭州市会展办下属的杭州西湖国际博览有限公司、杭州世界休闲博览会有限公司、杭州西博文化传播有限公司划归市商旅集团，真正实现管办分离、事企分开，</w:t>
      </w:r>
      <w:r>
        <w:rPr>
          <w:rFonts w:hint="eastAsia" w:ascii="仿宋_GB2312" w:hAnsi="Calibri" w:eastAsia="仿宋_GB2312" w:cs="Times New Roman"/>
          <w:bCs/>
          <w:color w:val="auto"/>
          <w:kern w:val="0"/>
          <w:sz w:val="32"/>
          <w:szCs w:val="32"/>
          <w:lang w:eastAsia="zh-CN" w:bidi="en-US"/>
        </w:rPr>
        <w:t>形成了“企业主体、市场运作、政府保障”的办会办展新模式。</w:t>
      </w:r>
      <w:r>
        <w:rPr>
          <w:rFonts w:hint="eastAsia" w:ascii="仿宋_GB2312" w:hAnsi="仿宋_GB2312" w:eastAsia="仿宋_GB2312" w:cs="仿宋_GB2312"/>
          <w:color w:val="auto"/>
          <w:kern w:val="0"/>
          <w:sz w:val="32"/>
          <w:szCs w:val="32"/>
          <w:lang w:eastAsia="zh-CN" w:bidi="en-US"/>
        </w:rPr>
        <w:t>在引进国际知名会展企业在杭设立分公司同时，培育了一批</w:t>
      </w:r>
      <w:r>
        <w:rPr>
          <w:rFonts w:hint="eastAsia" w:ascii="仿宋_GB2312" w:hAnsi="黑体" w:eastAsia="仿宋_GB2312" w:cs="Times New Roman"/>
          <w:bCs/>
          <w:color w:val="auto"/>
          <w:kern w:val="0"/>
          <w:sz w:val="32"/>
          <w:szCs w:val="32"/>
          <w:lang w:eastAsia="zh-CN" w:bidi="en-US"/>
        </w:rPr>
        <w:t>在国内有影响力</w:t>
      </w:r>
      <w:r>
        <w:rPr>
          <w:rFonts w:hint="eastAsia" w:ascii="仿宋_GB2312" w:hAnsi="Times New Roman" w:eastAsia="仿宋_GB2312" w:cs="Times New Roman"/>
          <w:bCs/>
          <w:color w:val="auto"/>
          <w:kern w:val="0"/>
          <w:sz w:val="32"/>
          <w:szCs w:val="32"/>
          <w:lang w:eastAsia="zh-CN" w:bidi="en-US"/>
        </w:rPr>
        <w:t>的本地会展企业。</w:t>
      </w:r>
      <w:r>
        <w:rPr>
          <w:rFonts w:hint="eastAsia" w:ascii="仿宋_GB2312" w:hAnsi="黑体" w:eastAsia="仿宋_GB2312"/>
          <w:bCs/>
          <w:sz w:val="32"/>
          <w:szCs w:val="32"/>
        </w:rPr>
        <w:t>2019年，浙江米奥兰特商务会展股份有限公司在深交所上市，成为中国会展第一股</w:t>
      </w:r>
      <w:r>
        <w:rPr>
          <w:rFonts w:hint="eastAsia" w:ascii="仿宋_GB2312" w:hAnsi="黑体" w:eastAsia="仿宋_GB2312"/>
          <w:bCs/>
          <w:sz w:val="32"/>
          <w:szCs w:val="32"/>
          <w:lang w:eastAsia="zh-CN"/>
        </w:rPr>
        <w:t>。“</w:t>
      </w:r>
      <w:r>
        <w:rPr>
          <w:rFonts w:hint="eastAsia" w:ascii="仿宋_GB2312" w:hAnsi="黑体" w:eastAsia="仿宋_GB2312" w:cs="Times New Roman"/>
          <w:bCs/>
          <w:color w:val="auto"/>
          <w:kern w:val="0"/>
          <w:sz w:val="32"/>
          <w:szCs w:val="32"/>
          <w:lang w:eastAsia="zh-CN" w:bidi="en-US"/>
        </w:rPr>
        <w:t>十三五”期末，</w:t>
      </w:r>
      <w:r>
        <w:rPr>
          <w:rFonts w:hint="eastAsia" w:ascii="仿宋_GB2312" w:hAnsi="仿宋_GB2312" w:eastAsia="仿宋_GB2312" w:cs="仿宋_GB2312"/>
          <w:color w:val="auto"/>
          <w:kern w:val="0"/>
          <w:sz w:val="32"/>
          <w:szCs w:val="32"/>
          <w:lang w:eastAsia="zh-CN" w:bidi="en-US"/>
        </w:rPr>
        <w:t>杭州共有会展相关企业80000余家，其中从事会展服务的企业超过7000家，</w:t>
      </w:r>
      <w:r>
        <w:rPr>
          <w:rFonts w:hint="eastAsia" w:ascii="仿宋_GB2312" w:hAnsi="Calibri" w:eastAsia="仿宋_GB2312" w:cs="Times New Roman"/>
          <w:bCs/>
          <w:color w:val="auto"/>
          <w:kern w:val="0"/>
          <w:sz w:val="32"/>
          <w:szCs w:val="32"/>
          <w:lang w:eastAsia="zh-CN" w:bidi="en-US"/>
        </w:rPr>
        <w:t>杭州市会议展览业协会会员单位数量达到</w:t>
      </w:r>
      <w:r>
        <w:rPr>
          <w:rFonts w:hint="eastAsia" w:ascii="仿宋_GB2312" w:hAnsi="仿宋_GB2312" w:eastAsia="仿宋_GB2312" w:cs="仿宋_GB2312"/>
          <w:color w:val="auto"/>
          <w:kern w:val="0"/>
          <w:sz w:val="32"/>
          <w:szCs w:val="32"/>
          <w:lang w:eastAsia="zh-CN" w:bidi="en-US"/>
        </w:rPr>
        <w:t>298家，形成了项目策划、展馆管理、设计布展、设备租赁等相配套的专业团队。同时，</w:t>
      </w:r>
      <w:r>
        <w:rPr>
          <w:rFonts w:hint="eastAsia" w:ascii="仿宋_GB2312" w:hAnsi="Calibri" w:eastAsia="仿宋_GB2312" w:cs="Times New Roman"/>
          <w:color w:val="auto"/>
          <w:kern w:val="0"/>
          <w:sz w:val="32"/>
          <w:szCs w:val="32"/>
          <w:lang w:eastAsia="zh-CN" w:bidi="en-US"/>
        </w:rPr>
        <w:t>会展业与装修装饰、信息咨询、广告策划、交通运输、宾馆酒店、</w:t>
      </w:r>
      <w:r>
        <w:rPr>
          <w:rFonts w:hint="eastAsia" w:ascii="仿宋_GB2312" w:hAnsi="Calibri" w:eastAsia="仿宋_GB2312" w:cs="Times New Roman"/>
          <w:color w:val="auto"/>
          <w:spacing w:val="-4"/>
          <w:kern w:val="0"/>
          <w:sz w:val="32"/>
          <w:szCs w:val="32"/>
          <w:lang w:eastAsia="zh-CN" w:bidi="en-US"/>
        </w:rPr>
        <w:t>旅游度假、通信网络等产业加快联动发展。</w:t>
      </w:r>
    </w:p>
    <w:p>
      <w:pPr>
        <w:keepNext w:val="0"/>
        <w:keepLines w:val="0"/>
        <w:pageBreakBefore w:val="0"/>
        <w:kinsoku/>
        <w:wordWrap/>
        <w:overflowPunct/>
        <w:topLinePunct w:val="0"/>
        <w:bidi w:val="0"/>
        <w:adjustRightInd/>
        <w:snapToGrid w:val="0"/>
        <w:spacing w:line="560" w:lineRule="exact"/>
        <w:ind w:firstLine="667" w:firstLineChars="0"/>
        <w:contextualSpacing/>
        <w:textAlignment w:val="auto"/>
        <w:rPr>
          <w:rFonts w:hint="eastAsia" w:ascii="仿宋_GB2312" w:hAnsi="Calibri" w:eastAsia="仿宋_GB2312" w:cs="Times New Roman"/>
          <w:bCs/>
          <w:color w:val="auto"/>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5.</w:t>
      </w:r>
      <w:r>
        <w:rPr>
          <w:rFonts w:hint="eastAsia" w:ascii="仿宋_GB2312" w:hAnsi="Calibri" w:eastAsia="仿宋_GB2312" w:cs="Times New Roman"/>
          <w:b/>
          <w:color w:val="auto"/>
          <w:spacing w:val="6"/>
          <w:kern w:val="0"/>
          <w:sz w:val="32"/>
          <w:szCs w:val="32"/>
          <w:lang w:bidi="en-US"/>
        </w:rPr>
        <w:t>开放</w:t>
      </w:r>
      <w:r>
        <w:rPr>
          <w:rFonts w:hint="eastAsia" w:ascii="仿宋_GB2312" w:hAnsi="Calibri" w:eastAsia="仿宋_GB2312" w:cs="Times New Roman"/>
          <w:b/>
          <w:color w:val="auto"/>
          <w:spacing w:val="6"/>
          <w:kern w:val="0"/>
          <w:sz w:val="32"/>
          <w:szCs w:val="32"/>
          <w:lang w:eastAsia="zh-CN" w:bidi="en-US"/>
        </w:rPr>
        <w:t>合作深入推进。</w:t>
      </w:r>
      <w:r>
        <w:rPr>
          <w:rFonts w:hint="eastAsia" w:ascii="仿宋_GB2312" w:hAnsi="Calibri" w:eastAsia="仿宋_GB2312" w:cs="Times New Roman"/>
          <w:bCs/>
          <w:color w:val="auto"/>
          <w:kern w:val="0"/>
          <w:sz w:val="32"/>
          <w:szCs w:val="32"/>
          <w:lang w:eastAsia="zh-CN" w:bidi="en-US"/>
        </w:rPr>
        <w:t>积极参与区域性会展组织，与国际展览业协会（UFI）、国际展览与项目协会（IAEE）、国际大会及会议协会（ICCA）等国际知名会展机构建立长效合作机制。与世界休闲组织等国际组织机构保持联络，世界休闲博览会由五年一届调整为两年一届。世界旅游联盟、国际标准化会议基地、国际大会及会议协会（ICCA）中国区教育委员会、国际丝绸组织落户杭州。成功引进了2017年城地组织世界理事会议、2019全球女性创业者大会、第二届金砖国家相关部长会议、丝路国际大会、世界工业设计大会等一批国际专业性会议。杭州国际博览中心加入UFI、ICCA、UIA、IAEE等国际权威行业组织。</w:t>
      </w:r>
    </w:p>
    <w:p>
      <w:pPr>
        <w:keepNext w:val="0"/>
        <w:keepLines w:val="0"/>
        <w:pageBreakBefore w:val="0"/>
        <w:kinsoku/>
        <w:wordWrap/>
        <w:overflowPunct/>
        <w:topLinePunct w:val="0"/>
        <w:bidi w:val="0"/>
        <w:adjustRightInd/>
        <w:snapToGrid w:val="0"/>
        <w:spacing w:line="560" w:lineRule="exact"/>
        <w:ind w:firstLine="643" w:firstLineChars="0"/>
        <w:contextualSpacing/>
        <w:textAlignment w:val="auto"/>
        <w:rPr>
          <w:rFonts w:hint="eastAsia" w:ascii="仿宋_GB2312" w:hAnsi="Calibri" w:eastAsia="仿宋_GB2312" w:cs="Times New Roman"/>
          <w:bCs/>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6.发展环境</w:t>
      </w:r>
      <w:r>
        <w:rPr>
          <w:rFonts w:hint="eastAsia" w:ascii="仿宋_GB2312" w:hAnsi="Calibri" w:eastAsia="仿宋_GB2312" w:cs="Times New Roman"/>
          <w:b/>
          <w:color w:val="auto"/>
          <w:kern w:val="0"/>
          <w:sz w:val="32"/>
          <w:szCs w:val="32"/>
          <w:lang w:bidi="en-US"/>
        </w:rPr>
        <w:t>持续</w:t>
      </w:r>
      <w:r>
        <w:rPr>
          <w:rFonts w:hint="eastAsia" w:ascii="仿宋_GB2312" w:hAnsi="Calibri" w:eastAsia="仿宋_GB2312" w:cs="Times New Roman"/>
          <w:b/>
          <w:color w:val="auto"/>
          <w:kern w:val="0"/>
          <w:sz w:val="32"/>
          <w:szCs w:val="32"/>
          <w:lang w:eastAsia="zh-CN" w:bidi="en-US"/>
        </w:rPr>
        <w:t>优化。</w:t>
      </w:r>
      <w:r>
        <w:rPr>
          <w:rFonts w:hint="eastAsia" w:ascii="仿宋_GB2312" w:hAnsi="Calibri" w:eastAsia="仿宋_GB2312" w:cs="Times New Roman"/>
          <w:bCs/>
          <w:color w:val="auto"/>
          <w:kern w:val="0"/>
          <w:sz w:val="32"/>
          <w:szCs w:val="32"/>
          <w:lang w:eastAsia="zh-CN" w:bidi="en-US"/>
        </w:rPr>
        <w:t>《全面提升杭州城市国际化水平的若干意见》明确提出“</w:t>
      </w:r>
      <w:r>
        <w:rPr>
          <w:rFonts w:hint="eastAsia" w:ascii="仿宋_GB2312" w:hAnsi="Calibri" w:eastAsia="仿宋_GB2312" w:cs="Times New Roman"/>
          <w:color w:val="auto"/>
          <w:kern w:val="0"/>
          <w:sz w:val="32"/>
          <w:szCs w:val="32"/>
          <w:lang w:eastAsia="zh-CN" w:bidi="en-US"/>
        </w:rPr>
        <w:t>着力打造国际会议目的地城市</w:t>
      </w:r>
      <w:r>
        <w:rPr>
          <w:rFonts w:hint="eastAsia" w:ascii="仿宋_GB2312" w:hAnsi="Calibri" w:eastAsia="仿宋_GB2312" w:cs="Times New Roman"/>
          <w:bCs/>
          <w:color w:val="auto"/>
          <w:kern w:val="0"/>
          <w:sz w:val="32"/>
          <w:szCs w:val="32"/>
          <w:lang w:eastAsia="zh-CN" w:bidi="en-US"/>
        </w:rPr>
        <w:t>，打响全球会议目的地品牌，提升展会国际化水平。”《杭州市会展业促进条例》《</w:t>
      </w:r>
      <w:r>
        <w:rPr>
          <w:rFonts w:hint="eastAsia" w:ascii="仿宋_GB2312" w:hAnsi="Calibri" w:eastAsia="仿宋_GB2312" w:cs="Times New Roman"/>
          <w:bCs/>
          <w:color w:val="auto"/>
          <w:kern w:val="0"/>
          <w:sz w:val="32"/>
          <w:szCs w:val="32"/>
          <w:lang w:eastAsia="en-US" w:bidi="en-US"/>
        </w:rPr>
        <w:fldChar w:fldCharType="begin" w:fldLock="1"/>
      </w:r>
      <w:r>
        <w:rPr>
          <w:rFonts w:hint="eastAsia" w:ascii="仿宋_GB2312" w:hAnsi="Calibri" w:eastAsia="仿宋_GB2312" w:cs="Times New Roman"/>
          <w:bCs/>
          <w:color w:val="auto"/>
          <w:kern w:val="0"/>
          <w:sz w:val="32"/>
          <w:szCs w:val="32"/>
          <w:lang w:eastAsia="en-US" w:bidi="en-US"/>
        </w:rPr>
        <w:instrText xml:space="preserve">HYPERLINK "http://www.baidu.com/link?url=P8_Ro3ziZQC-qvlAUuFN54-iB8Z_3tfLSvrHCY13AnVnvGmUrbObCLyZ3eZ5vJOP9GMBvVXvpp3iwE9UgWUT_K"</w:instrText>
      </w:r>
      <w:r>
        <w:rPr>
          <w:rFonts w:hint="eastAsia" w:ascii="仿宋_GB2312" w:hAnsi="Calibri" w:eastAsia="仿宋_GB2312" w:cs="Times New Roman"/>
          <w:bCs/>
          <w:color w:val="auto"/>
          <w:kern w:val="0"/>
          <w:sz w:val="32"/>
          <w:szCs w:val="32"/>
          <w:lang w:eastAsia="en-US" w:bidi="en-US"/>
        </w:rPr>
        <w:fldChar w:fldCharType="separate"/>
      </w:r>
      <w:r>
        <w:rPr>
          <w:rFonts w:hint="eastAsia" w:ascii="仿宋_GB2312" w:hAnsi="Calibri" w:eastAsia="仿宋_GB2312" w:cs="Times New Roman"/>
          <w:bCs/>
          <w:color w:val="auto"/>
          <w:kern w:val="0"/>
          <w:sz w:val="32"/>
          <w:szCs w:val="32"/>
          <w:lang w:eastAsia="zh-CN" w:bidi="en-US"/>
        </w:rPr>
        <w:t>杭州市会展业发展扶持资金管理办法(试行)</w:t>
      </w:r>
      <w:r>
        <w:rPr>
          <w:rFonts w:hint="eastAsia" w:ascii="仿宋_GB2312" w:hAnsi="Calibri" w:eastAsia="仿宋_GB2312" w:cs="Times New Roman"/>
          <w:bCs/>
          <w:color w:val="auto"/>
          <w:kern w:val="0"/>
          <w:sz w:val="32"/>
          <w:szCs w:val="32"/>
          <w:lang w:eastAsia="en-US" w:bidi="en-US"/>
        </w:rPr>
        <w:fldChar w:fldCharType="end"/>
      </w:r>
      <w:r>
        <w:rPr>
          <w:rFonts w:hint="eastAsia" w:ascii="仿宋_GB2312" w:hAnsi="Calibri" w:eastAsia="仿宋_GB2312" w:cs="Times New Roman"/>
          <w:bCs/>
          <w:color w:val="auto"/>
          <w:kern w:val="0"/>
          <w:sz w:val="32"/>
          <w:szCs w:val="32"/>
          <w:lang w:eastAsia="zh-CN" w:bidi="en-US"/>
        </w:rPr>
        <w:t>》相继出台，为杭州会展业发展提供了法规保障和财政资金扶持，有利于增强会展企业的运营能力和加快市场化进度。会展人才培养模式进一步创新，在杭高校加大会展学科建设力度，以行业用人需求为导向，在人才培养中因材施教。</w:t>
      </w:r>
      <w:r>
        <w:rPr>
          <w:rFonts w:hint="eastAsia" w:ascii="仿宋_GB2312" w:hAnsi="Times New Roman" w:eastAsia="仿宋_GB2312" w:cs="Times New Roman"/>
          <w:bCs/>
          <w:color w:val="auto"/>
          <w:kern w:val="0"/>
          <w:sz w:val="32"/>
          <w:szCs w:val="32"/>
          <w:lang w:eastAsia="zh-CN" w:bidi="en-US"/>
        </w:rPr>
        <w:t>定期开展会展业领军人才专题培训，建设多层次的会展运营管理队伍梯队。组织开展国际型会展战略人才培训，前往国外考察交流。建立线上共享课堂，提供优质网络学习平台和资源。</w:t>
      </w:r>
    </w:p>
    <w:p>
      <w:pPr>
        <w:keepNext w:val="0"/>
        <w:keepLines w:val="0"/>
        <w:pageBreakBefore w:val="0"/>
        <w:kinsoku/>
        <w:wordWrap/>
        <w:overflowPunct/>
        <w:topLinePunct w:val="0"/>
        <w:bidi w:val="0"/>
        <w:adjustRightInd/>
        <w:snapToGrid w:val="0"/>
        <w:spacing w:line="560" w:lineRule="exact"/>
        <w:ind w:firstLine="707" w:firstLineChars="213"/>
        <w:textAlignment w:val="auto"/>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color w:val="auto"/>
          <w:spacing w:val="6"/>
          <w:kern w:val="0"/>
          <w:sz w:val="32"/>
          <w:szCs w:val="32"/>
          <w:lang w:eastAsia="zh-CN" w:bidi="en-US"/>
        </w:rPr>
        <w:t>“十三五”时期，尽管杭州会展业发展取得重大成就，但也存在一些瓶颈制约，主要体现在</w:t>
      </w:r>
      <w:r>
        <w:rPr>
          <w:rFonts w:hint="eastAsia" w:ascii="仿宋_GB2312" w:hAnsi="Calibri" w:eastAsia="仿宋_GB2312" w:cs="Times New Roman"/>
          <w:color w:val="auto"/>
          <w:spacing w:val="6"/>
          <w:kern w:val="0"/>
          <w:sz w:val="32"/>
          <w:szCs w:val="32"/>
          <w:u w:val="none"/>
          <w:lang w:eastAsia="zh-CN" w:bidi="en-US"/>
        </w:rPr>
        <w:t>：</w:t>
      </w:r>
      <w:r>
        <w:rPr>
          <w:rFonts w:hint="eastAsia" w:ascii="仿宋_GB2312" w:hAnsi="Calibri" w:eastAsia="仿宋_GB2312" w:cs="Times New Roman"/>
          <w:b/>
          <w:color w:val="auto"/>
          <w:kern w:val="0"/>
          <w:sz w:val="32"/>
          <w:szCs w:val="32"/>
          <w:u w:val="none"/>
          <w:lang w:eastAsia="zh-CN" w:bidi="en-US"/>
        </w:rPr>
        <w:t>一是会展与产业的联系不够紧密，</w:t>
      </w:r>
      <w:r>
        <w:rPr>
          <w:rFonts w:hint="eastAsia" w:ascii="仿宋_GB2312" w:hAnsi="Calibri" w:eastAsia="仿宋_GB2312" w:cs="Times New Roman"/>
          <w:color w:val="auto"/>
          <w:kern w:val="0"/>
          <w:sz w:val="32"/>
          <w:szCs w:val="32"/>
          <w:u w:val="none"/>
          <w:lang w:eastAsia="zh-CN" w:bidi="en-US"/>
        </w:rPr>
        <w:t>依托杭州优势产业孵化的知名会展项目不多，由品牌会展成功落地的产业项目较少；</w:t>
      </w:r>
      <w:r>
        <w:rPr>
          <w:rFonts w:hint="eastAsia" w:ascii="仿宋_GB2312" w:hAnsi="Calibri" w:eastAsia="仿宋_GB2312" w:cs="Times New Roman"/>
          <w:b/>
          <w:bCs/>
          <w:color w:val="auto"/>
          <w:kern w:val="0"/>
          <w:sz w:val="32"/>
          <w:szCs w:val="32"/>
          <w:u w:val="none"/>
          <w:lang w:eastAsia="zh-CN" w:bidi="en-US"/>
        </w:rPr>
        <w:t>二是</w:t>
      </w:r>
      <w:r>
        <w:rPr>
          <w:rFonts w:hint="eastAsia" w:ascii="仿宋_GB2312" w:hAnsi="Calibri" w:eastAsia="仿宋_GB2312" w:cs="Times New Roman"/>
          <w:b/>
          <w:color w:val="auto"/>
          <w:kern w:val="0"/>
          <w:sz w:val="32"/>
          <w:szCs w:val="32"/>
          <w:u w:val="none"/>
          <w:lang w:eastAsia="zh-CN" w:bidi="en-US"/>
        </w:rPr>
        <w:t>市场主体竞争力仍有待</w:t>
      </w:r>
      <w:r>
        <w:rPr>
          <w:rFonts w:hint="eastAsia" w:ascii="仿宋_GB2312" w:hAnsi="Calibri" w:eastAsia="仿宋_GB2312" w:cs="Times New Roman"/>
          <w:b/>
          <w:color w:val="auto"/>
          <w:kern w:val="0"/>
          <w:sz w:val="32"/>
          <w:szCs w:val="32"/>
          <w:lang w:eastAsia="zh-CN" w:bidi="en-US"/>
        </w:rPr>
        <w:t>提升，</w:t>
      </w:r>
      <w:r>
        <w:rPr>
          <w:rFonts w:hint="eastAsia" w:ascii="仿宋_GB2312" w:hAnsi="Calibri" w:eastAsia="仿宋_GB2312" w:cs="Times New Roman"/>
          <w:color w:val="auto"/>
          <w:spacing w:val="6"/>
          <w:kern w:val="0"/>
          <w:sz w:val="32"/>
          <w:szCs w:val="32"/>
          <w:lang w:eastAsia="zh-CN" w:bidi="en-US"/>
        </w:rPr>
        <w:t>会展</w:t>
      </w:r>
      <w:r>
        <w:rPr>
          <w:rFonts w:hint="eastAsia" w:ascii="仿宋_GB2312" w:hAnsi="Calibri" w:eastAsia="仿宋_GB2312" w:cs="Times New Roman"/>
          <w:color w:val="auto"/>
          <w:kern w:val="0"/>
          <w:sz w:val="32"/>
          <w:szCs w:val="32"/>
          <w:lang w:eastAsia="zh-CN" w:bidi="en-US"/>
        </w:rPr>
        <w:t>关联企业</w:t>
      </w:r>
      <w:r>
        <w:rPr>
          <w:rFonts w:hint="eastAsia" w:ascii="仿宋_GB2312" w:hAnsi="黑体" w:eastAsia="仿宋_GB2312" w:cs="Times New Roman"/>
          <w:color w:val="auto"/>
          <w:kern w:val="0"/>
          <w:sz w:val="32"/>
          <w:szCs w:val="32"/>
          <w:lang w:eastAsia="zh-CN" w:bidi="en-US"/>
        </w:rPr>
        <w:t>整体呈现小而散的特点，缺乏</w:t>
      </w:r>
      <w:r>
        <w:rPr>
          <w:rFonts w:hint="eastAsia" w:ascii="仿宋_GB2312" w:hAnsi="黑体" w:eastAsia="仿宋_GB2312" w:cs="Times New Roman"/>
          <w:color w:val="auto"/>
          <w:spacing w:val="-4"/>
          <w:kern w:val="0"/>
          <w:sz w:val="32"/>
          <w:szCs w:val="32"/>
          <w:lang w:eastAsia="zh-CN" w:bidi="en-US"/>
        </w:rPr>
        <w:t>能够独立承接举办重大品牌会展项目或专业化运营大型会展</w:t>
      </w:r>
      <w:r>
        <w:rPr>
          <w:rFonts w:hint="eastAsia" w:ascii="仿宋_GB2312" w:hAnsi="黑体" w:eastAsia="仿宋_GB2312" w:cs="Times New Roman"/>
          <w:color w:val="auto"/>
          <w:kern w:val="0"/>
          <w:sz w:val="32"/>
          <w:szCs w:val="32"/>
          <w:lang w:eastAsia="zh-CN" w:bidi="en-US"/>
        </w:rPr>
        <w:t>场馆的龙头企业；</w:t>
      </w:r>
      <w:r>
        <w:rPr>
          <w:rFonts w:hint="eastAsia" w:ascii="仿宋_GB2312" w:hAnsi="Calibri" w:eastAsia="仿宋_GB2312" w:cs="Times New Roman"/>
          <w:b/>
          <w:color w:val="auto"/>
          <w:kern w:val="0"/>
          <w:sz w:val="32"/>
          <w:szCs w:val="32"/>
          <w:lang w:eastAsia="zh-CN" w:bidi="en-US"/>
        </w:rPr>
        <w:t>三是知名的品牌会展项目依然不足，</w:t>
      </w:r>
      <w:r>
        <w:rPr>
          <w:rFonts w:hint="eastAsia" w:ascii="仿宋_GB2312" w:hAnsi="Calibri" w:eastAsia="仿宋_GB2312" w:cs="Times New Roman"/>
          <w:color w:val="auto"/>
          <w:kern w:val="0"/>
          <w:sz w:val="32"/>
          <w:szCs w:val="32"/>
          <w:lang w:eastAsia="zh-CN" w:bidi="en-US"/>
        </w:rPr>
        <w:t>本土会展项目的知名度影响力不够，</w:t>
      </w:r>
      <w:r>
        <w:rPr>
          <w:rFonts w:hint="eastAsia" w:ascii="仿宋_GB2312" w:hAnsi="Calibri" w:eastAsia="仿宋_GB2312" w:cs="Times New Roman"/>
          <w:bCs/>
          <w:color w:val="auto"/>
          <w:kern w:val="0"/>
          <w:sz w:val="32"/>
          <w:szCs w:val="32"/>
          <w:lang w:eastAsia="zh-CN" w:bidi="en-US"/>
        </w:rPr>
        <w:t>国际知名会展公司组织的会展项目较少，国际展览业协会（UFI）认证展览项目仅有三个，与上海、北京等城市相比差距较大；</w:t>
      </w:r>
      <w:r>
        <w:rPr>
          <w:rFonts w:hint="eastAsia" w:ascii="仿宋_GB2312" w:hAnsi="Calibri" w:eastAsia="仿宋_GB2312" w:cs="Times New Roman"/>
          <w:b/>
          <w:color w:val="auto"/>
          <w:spacing w:val="6"/>
          <w:kern w:val="0"/>
          <w:sz w:val="32"/>
          <w:szCs w:val="32"/>
          <w:lang w:eastAsia="zh-CN" w:bidi="en-US"/>
        </w:rPr>
        <w:t>四是会展场馆制约依然存在，</w:t>
      </w:r>
      <w:r>
        <w:rPr>
          <w:rFonts w:hint="eastAsia" w:ascii="仿宋_GB2312" w:hAnsi="Calibri" w:eastAsia="仿宋_GB2312" w:cs="Times New Roman"/>
          <w:color w:val="auto"/>
          <w:spacing w:val="6"/>
          <w:kern w:val="0"/>
          <w:sz w:val="32"/>
          <w:szCs w:val="32"/>
          <w:lang w:eastAsia="zh-CN" w:bidi="en-US"/>
        </w:rPr>
        <w:t>相比于北京、上海、广州、深圳、成都等城市，杭州会展场馆规模明显不足，缺少特大型展馆，难以举行大型会展项目，严重影响杭州会展业能级提升</w:t>
      </w:r>
      <w:r>
        <w:rPr>
          <w:rFonts w:hint="eastAsia" w:ascii="仿宋_GB2312" w:hAnsi="Calibri" w:eastAsia="仿宋_GB2312" w:cs="Times New Roman"/>
          <w:bCs/>
          <w:color w:val="auto"/>
          <w:kern w:val="0"/>
          <w:sz w:val="32"/>
          <w:szCs w:val="32"/>
          <w:lang w:eastAsia="zh-CN" w:bidi="en-US"/>
        </w:rPr>
        <w:t>。</w:t>
      </w:r>
    </w:p>
    <w:p>
      <w:pPr>
        <w:keepNext w:val="0"/>
        <w:keepLines w:val="0"/>
        <w:pageBreakBefore w:val="0"/>
        <w:kinsoku/>
        <w:wordWrap/>
        <w:overflowPunct/>
        <w:topLinePunct w:val="0"/>
        <w:bidi w:val="0"/>
        <w:adjustRightInd/>
        <w:snapToGrid w:val="0"/>
        <w:spacing w:line="560" w:lineRule="exact"/>
        <w:ind w:firstLine="704" w:firstLineChars="220"/>
        <w:textAlignment w:val="auto"/>
        <w:outlineLvl w:val="1"/>
        <w:rPr>
          <w:rFonts w:hint="eastAsia" w:ascii="Cambria" w:hAnsi="Cambria" w:eastAsia="宋体" w:cs="Times New Roman"/>
          <w:b w:val="0"/>
          <w:bCs w:val="0"/>
          <w:color w:val="auto"/>
          <w:sz w:val="32"/>
          <w:szCs w:val="32"/>
          <w:lang w:val="en-US" w:eastAsia="zh-CN" w:bidi="en-US"/>
        </w:rPr>
      </w:pPr>
      <w:bookmarkStart w:id="3" w:name="_Toc1585869118"/>
      <w:r>
        <w:rPr>
          <w:rFonts w:hint="eastAsia" w:ascii="楷体_GB2312" w:hAnsi="Cambria" w:eastAsia="楷体_GB2312" w:cs="Times New Roman"/>
          <w:b w:val="0"/>
          <w:bCs w:val="0"/>
          <w:color w:val="auto"/>
          <w:sz w:val="32"/>
          <w:szCs w:val="32"/>
          <w:lang w:val="en-US" w:eastAsia="zh-CN" w:bidi="en-US"/>
        </w:rPr>
        <w:t>（二）发展形势</w:t>
      </w:r>
      <w:bookmarkEnd w:id="3"/>
    </w:p>
    <w:p>
      <w:pPr>
        <w:keepNext w:val="0"/>
        <w:keepLines w:val="0"/>
        <w:pageBreakBefore w:val="0"/>
        <w:kinsoku/>
        <w:wordWrap/>
        <w:overflowPunct/>
        <w:topLinePunct w:val="0"/>
        <w:bidi w:val="0"/>
        <w:adjustRightInd/>
        <w:snapToGrid w:val="0"/>
        <w:spacing w:line="560" w:lineRule="exact"/>
        <w:ind w:firstLine="666" w:firstLineChars="200"/>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1.全球会展业将进入后疫情时代。</w:t>
      </w:r>
      <w:r>
        <w:rPr>
          <w:rFonts w:hint="eastAsia" w:ascii="仿宋_GB2312" w:hAnsi="Calibri" w:eastAsia="仿宋_GB2312" w:cs="Times New Roman"/>
          <w:color w:val="auto"/>
          <w:spacing w:val="6"/>
          <w:kern w:val="0"/>
          <w:sz w:val="32"/>
          <w:szCs w:val="32"/>
          <w:lang w:eastAsia="zh-CN" w:bidi="en-US"/>
        </w:rPr>
        <w:t>传统的线下展会因人员密集、流动性大，空间密闭等特点，受新冠肺炎疫情影响较大，全球展览大面积停办或延期（国际品牌展会2-3年举办一届），近两年国际展会市场陷入历史低迷期，后疫情时代的线下展会防控成本也将增加。借助移动互联网、数字化技术、视频技术,举办线上会展有利于会展业走出困境，降低新冠肺炎疫情对会展业的影响，</w:t>
      </w:r>
      <w:r>
        <w:rPr>
          <w:rFonts w:hint="eastAsia" w:ascii="仿宋_GB2312" w:hAnsi="Calibri" w:eastAsia="仿宋_GB2312" w:cs="Times New Roman"/>
          <w:color w:val="auto"/>
          <w:spacing w:val="6"/>
          <w:kern w:val="0"/>
          <w:sz w:val="32"/>
          <w:szCs w:val="32"/>
          <w:u w:val="none"/>
          <w:lang w:eastAsia="zh-CN" w:bidi="en-US"/>
        </w:rPr>
        <w:t>线上线下融合发展将成为未来国际会展业的主流。</w:t>
      </w:r>
    </w:p>
    <w:p>
      <w:pPr>
        <w:keepNext w:val="0"/>
        <w:keepLines w:val="0"/>
        <w:pageBreakBefore w:val="0"/>
        <w:kinsoku/>
        <w:wordWrap/>
        <w:overflowPunct/>
        <w:topLinePunct w:val="0"/>
        <w:bidi w:val="0"/>
        <w:adjustRightInd/>
        <w:snapToGrid w:val="0"/>
        <w:spacing w:line="560" w:lineRule="exact"/>
        <w:ind w:firstLine="667" w:firstLineChars="0"/>
        <w:textAlignment w:val="auto"/>
        <w:rPr>
          <w:rFonts w:ascii="Calibri" w:hAnsi="Calibri" w:eastAsia="宋体" w:cs="Times New Roman"/>
          <w:color w:val="auto"/>
          <w:kern w:val="0"/>
          <w:sz w:val="22"/>
          <w:szCs w:val="22"/>
          <w:lang w:eastAsia="zh-CN" w:bidi="en-US"/>
        </w:rPr>
      </w:pPr>
      <w:r>
        <w:rPr>
          <w:rFonts w:hint="eastAsia" w:ascii="仿宋_GB2312" w:hAnsi="Calibri" w:eastAsia="仿宋_GB2312" w:cs="Times New Roman"/>
          <w:b/>
          <w:color w:val="auto"/>
          <w:spacing w:val="6"/>
          <w:kern w:val="0"/>
          <w:sz w:val="32"/>
          <w:szCs w:val="32"/>
          <w:lang w:eastAsia="zh-CN" w:bidi="en-US"/>
        </w:rPr>
        <w:t>2.</w:t>
      </w:r>
      <w:r>
        <w:rPr>
          <w:rFonts w:ascii="仿宋_GB2312" w:hAnsi="Calibri" w:eastAsia="仿宋_GB2312" w:cs="Times New Roman"/>
          <w:b/>
          <w:color w:val="auto"/>
          <w:spacing w:val="6"/>
          <w:kern w:val="0"/>
          <w:sz w:val="32"/>
          <w:szCs w:val="32"/>
          <w:lang w:eastAsia="zh-CN" w:bidi="en-US"/>
        </w:rPr>
        <w:t>我国</w:t>
      </w:r>
      <w:r>
        <w:rPr>
          <w:rFonts w:hint="eastAsia" w:ascii="仿宋_GB2312" w:hAnsi="Calibri" w:eastAsia="仿宋_GB2312" w:cs="Times New Roman"/>
          <w:b/>
          <w:color w:val="auto"/>
          <w:spacing w:val="6"/>
          <w:kern w:val="0"/>
          <w:sz w:val="32"/>
          <w:szCs w:val="32"/>
          <w:lang w:eastAsia="zh-CN" w:bidi="en-US"/>
        </w:rPr>
        <w:t>正加快构建以国内大循环为主体、国内国际双循环相互促进的新发展格局。</w:t>
      </w:r>
      <w:r>
        <w:rPr>
          <w:rFonts w:ascii="仿宋_GB2312" w:hAnsi="Calibri" w:eastAsia="仿宋_GB2312" w:cs="Times New Roman"/>
          <w:color w:val="auto"/>
          <w:spacing w:val="6"/>
          <w:kern w:val="0"/>
          <w:sz w:val="32"/>
          <w:szCs w:val="32"/>
          <w:lang w:eastAsia="zh-CN" w:bidi="en-US"/>
        </w:rPr>
        <w:t>居民对优质产品和服务的消费需求与日俱增，强大的内需推动着国内会展业的发展，无论是制造业领域的展会，还是以消费类产品为主的展会，</w:t>
      </w:r>
      <w:r>
        <w:rPr>
          <w:rFonts w:hint="eastAsia" w:ascii="仿宋_GB2312" w:hAnsi="Calibri" w:eastAsia="仿宋_GB2312" w:cs="Times New Roman"/>
          <w:color w:val="auto"/>
          <w:spacing w:val="6"/>
          <w:kern w:val="0"/>
          <w:sz w:val="32"/>
          <w:szCs w:val="32"/>
          <w:lang w:eastAsia="zh-CN" w:bidi="en-US"/>
        </w:rPr>
        <w:t>都迎来了新的发展机遇</w:t>
      </w:r>
      <w:r>
        <w:rPr>
          <w:rFonts w:ascii="仿宋_GB2312" w:hAnsi="Calibri" w:eastAsia="仿宋_GB2312" w:cs="Times New Roman"/>
          <w:color w:val="auto"/>
          <w:spacing w:val="6"/>
          <w:kern w:val="0"/>
          <w:sz w:val="32"/>
          <w:szCs w:val="32"/>
          <w:lang w:eastAsia="zh-CN" w:bidi="en-US"/>
        </w:rPr>
        <w:t>。</w:t>
      </w:r>
      <w:r>
        <w:rPr>
          <w:rFonts w:hint="eastAsia" w:ascii="仿宋_GB2312" w:hAnsi="Calibri" w:eastAsia="仿宋_GB2312" w:cs="Times New Roman"/>
          <w:color w:val="auto"/>
          <w:spacing w:val="6"/>
          <w:kern w:val="0"/>
          <w:sz w:val="32"/>
          <w:szCs w:val="32"/>
          <w:lang w:eastAsia="zh-CN" w:bidi="en-US"/>
        </w:rPr>
        <w:t>长三角一体化上升为国家战略，对推动形成区域协调发展新格局，强化区域联动发展，共建高水平开放平台，促进要素市场一体化提出了新的更高要求，将有效推进长三角作为国际最大会展城市群的共建与发展。</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ascii="Calibri"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3.</w:t>
      </w:r>
      <w:r>
        <w:rPr>
          <w:rFonts w:ascii="仿宋_GB2312" w:hAnsi="Calibri" w:eastAsia="仿宋_GB2312" w:cs="Times New Roman"/>
          <w:b/>
          <w:color w:val="auto"/>
          <w:spacing w:val="6"/>
          <w:kern w:val="0"/>
          <w:sz w:val="32"/>
          <w:szCs w:val="32"/>
          <w:lang w:eastAsia="zh-CN" w:bidi="en-US"/>
        </w:rPr>
        <w:t>杭州</w:t>
      </w:r>
      <w:r>
        <w:rPr>
          <w:rFonts w:hint="eastAsia" w:ascii="仿宋_GB2312" w:hAnsi="Calibri" w:eastAsia="仿宋_GB2312" w:cs="Times New Roman"/>
          <w:b/>
          <w:color w:val="auto"/>
          <w:spacing w:val="6"/>
          <w:kern w:val="0"/>
          <w:sz w:val="32"/>
          <w:szCs w:val="32"/>
          <w:lang w:eastAsia="zh-CN" w:bidi="en-US"/>
        </w:rPr>
        <w:t>正处于“亚运会、大都市、现代化”的重要窗口期。</w:t>
      </w:r>
      <w:r>
        <w:rPr>
          <w:rFonts w:hint="eastAsia" w:ascii="Calibri" w:hAnsi="Calibri" w:eastAsia="仿宋_GB2312" w:cs="Times New Roman"/>
          <w:color w:val="auto"/>
          <w:spacing w:val="6"/>
          <w:kern w:val="0"/>
          <w:sz w:val="32"/>
          <w:szCs w:val="32"/>
          <w:lang w:eastAsia="zh-CN" w:bidi="en-US"/>
        </w:rPr>
        <w:t>“十四五”期间，杭州将</w:t>
      </w:r>
      <w:r>
        <w:rPr>
          <w:rFonts w:ascii="Calibri" w:hAnsi="Calibri" w:eastAsia="仿宋_GB2312" w:cs="Times New Roman"/>
          <w:color w:val="auto"/>
          <w:spacing w:val="6"/>
          <w:kern w:val="0"/>
          <w:sz w:val="32"/>
          <w:szCs w:val="32"/>
          <w:lang w:eastAsia="zh-CN" w:bidi="en-US"/>
        </w:rPr>
        <w:t>以</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数智杭州</w:t>
      </w:r>
      <w:r>
        <w:rPr>
          <w:rFonts w:hint="eastAsia" w:ascii="仿宋_GB2312" w:hAnsi="仿宋_GB2312" w:eastAsia="仿宋_GB2312" w:cs="仿宋_GB2312"/>
          <w:color w:val="auto"/>
          <w:spacing w:val="6"/>
          <w:kern w:val="0"/>
          <w:sz w:val="32"/>
          <w:szCs w:val="32"/>
          <w:lang w:eastAsia="zh-CN" w:bidi="en-US"/>
        </w:rPr>
        <w:t>·</w:t>
      </w:r>
      <w:r>
        <w:rPr>
          <w:rFonts w:hint="eastAsia" w:ascii="Calibri" w:hAnsi="Calibri" w:eastAsia="仿宋_GB2312" w:cs="Times New Roman"/>
          <w:color w:val="auto"/>
          <w:spacing w:val="6"/>
          <w:kern w:val="0"/>
          <w:sz w:val="32"/>
          <w:szCs w:val="32"/>
          <w:lang w:eastAsia="zh-CN" w:bidi="en-US"/>
        </w:rPr>
        <w:t>宜居天堂”为导向</w:t>
      </w:r>
      <w:r>
        <w:rPr>
          <w:rFonts w:ascii="Calibri" w:hAnsi="Calibri" w:eastAsia="仿宋_GB2312" w:cs="Times New Roman"/>
          <w:color w:val="auto"/>
          <w:spacing w:val="6"/>
          <w:kern w:val="0"/>
          <w:sz w:val="32"/>
          <w:szCs w:val="32"/>
          <w:lang w:eastAsia="zh-CN" w:bidi="en-US"/>
        </w:rPr>
        <w:t>，</w:t>
      </w:r>
      <w:r>
        <w:rPr>
          <w:rFonts w:hint="eastAsia" w:ascii="Calibri" w:hAnsi="Calibri" w:eastAsia="仿宋_GB2312" w:cs="Times New Roman"/>
          <w:color w:val="auto"/>
          <w:spacing w:val="6"/>
          <w:kern w:val="0"/>
          <w:sz w:val="32"/>
          <w:szCs w:val="32"/>
          <w:lang w:eastAsia="zh-CN" w:bidi="en-US"/>
        </w:rPr>
        <w:t>加快建设社会主义现代化国际大都市，</w:t>
      </w:r>
      <w:r>
        <w:rPr>
          <w:rFonts w:ascii="Calibri" w:hAnsi="Calibri" w:eastAsia="仿宋_GB2312" w:cs="Times New Roman"/>
          <w:color w:val="auto"/>
          <w:spacing w:val="6"/>
          <w:kern w:val="0"/>
          <w:sz w:val="32"/>
          <w:szCs w:val="32"/>
          <w:lang w:eastAsia="zh-CN" w:bidi="en-US"/>
        </w:rPr>
        <w:t>奋力展现</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重要窗口</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的</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头雁风采</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以亚运会为引领的一系列国际重大赛事活动的举办将极大提升杭州城市的品牌号召力，吸引一批国内外重大会展项目落户杭州，同时以</w:t>
      </w:r>
      <w:r>
        <w:rPr>
          <w:rFonts w:hint="eastAsia" w:ascii="Calibri" w:hAnsi="Calibri" w:eastAsia="仿宋_GB2312" w:cs="Times New Roman"/>
          <w:color w:val="auto"/>
          <w:spacing w:val="6"/>
          <w:kern w:val="0"/>
          <w:sz w:val="32"/>
          <w:szCs w:val="32"/>
          <w:lang w:eastAsia="zh-CN" w:bidi="en-US"/>
        </w:rPr>
        <w:t>杭州大</w:t>
      </w:r>
      <w:r>
        <w:rPr>
          <w:rFonts w:ascii="Calibri" w:hAnsi="Calibri" w:eastAsia="仿宋_GB2312" w:cs="Times New Roman"/>
          <w:color w:val="auto"/>
          <w:spacing w:val="6"/>
          <w:kern w:val="0"/>
          <w:sz w:val="32"/>
          <w:szCs w:val="32"/>
          <w:lang w:eastAsia="zh-CN" w:bidi="en-US"/>
        </w:rPr>
        <w:t>会展中心、</w:t>
      </w:r>
      <w:r>
        <w:rPr>
          <w:rFonts w:hint="eastAsia" w:ascii="Calibri" w:hAnsi="Calibri" w:eastAsia="仿宋_GB2312" w:cs="Times New Roman"/>
          <w:color w:val="auto"/>
          <w:spacing w:val="6"/>
          <w:kern w:val="0"/>
          <w:sz w:val="32"/>
          <w:szCs w:val="32"/>
          <w:lang w:eastAsia="zh-CN" w:bidi="en-US"/>
        </w:rPr>
        <w:t>杭州</w:t>
      </w:r>
      <w:r>
        <w:rPr>
          <w:rFonts w:ascii="Calibri" w:hAnsi="Calibri" w:eastAsia="仿宋_GB2312" w:cs="Times New Roman"/>
          <w:color w:val="auto"/>
          <w:spacing w:val="6"/>
          <w:kern w:val="0"/>
          <w:sz w:val="32"/>
          <w:szCs w:val="32"/>
          <w:lang w:eastAsia="zh-CN" w:bidi="en-US"/>
        </w:rPr>
        <w:t>国际博览中心为代表的会展场馆加快建设和扩容，将</w:t>
      </w:r>
      <w:r>
        <w:rPr>
          <w:rFonts w:hint="eastAsia" w:ascii="Calibri" w:hAnsi="Calibri" w:eastAsia="仿宋_GB2312" w:cs="Times New Roman"/>
          <w:color w:val="auto"/>
          <w:spacing w:val="6"/>
          <w:kern w:val="0"/>
          <w:sz w:val="32"/>
          <w:szCs w:val="32"/>
          <w:lang w:eastAsia="zh-CN" w:bidi="en-US"/>
        </w:rPr>
        <w:t>大大</w:t>
      </w:r>
      <w:r>
        <w:rPr>
          <w:rFonts w:ascii="Calibri" w:hAnsi="Calibri" w:eastAsia="仿宋_GB2312" w:cs="Times New Roman"/>
          <w:color w:val="auto"/>
          <w:spacing w:val="6"/>
          <w:kern w:val="0"/>
          <w:sz w:val="32"/>
          <w:szCs w:val="32"/>
          <w:lang w:eastAsia="zh-CN" w:bidi="en-US"/>
        </w:rPr>
        <w:t>提升杭州大型会展项目的承载力</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杭州发达的数字经济将引领全国</w:t>
      </w:r>
      <w:r>
        <w:rPr>
          <w:rFonts w:hint="eastAsia" w:ascii="Calibri" w:hAnsi="Calibri" w:eastAsia="仿宋_GB2312" w:cs="Times New Roman"/>
          <w:color w:val="auto"/>
          <w:spacing w:val="6"/>
          <w:kern w:val="0"/>
          <w:sz w:val="32"/>
          <w:szCs w:val="32"/>
          <w:lang w:eastAsia="zh-CN" w:bidi="en-US"/>
        </w:rPr>
        <w:t>乃至</w:t>
      </w:r>
      <w:r>
        <w:rPr>
          <w:rFonts w:ascii="Calibri" w:hAnsi="Calibri" w:eastAsia="仿宋_GB2312" w:cs="Times New Roman"/>
          <w:color w:val="auto"/>
          <w:spacing w:val="6"/>
          <w:kern w:val="0"/>
          <w:sz w:val="32"/>
          <w:szCs w:val="32"/>
          <w:lang w:eastAsia="zh-CN" w:bidi="en-US"/>
        </w:rPr>
        <w:t>全球会展业向数字化、智能化发展。</w:t>
      </w:r>
    </w:p>
    <w:p>
      <w:pPr>
        <w:keepNext w:val="0"/>
        <w:keepLines w:val="0"/>
        <w:pageBreakBefore w:val="0"/>
        <w:kinsoku/>
        <w:wordWrap/>
        <w:overflowPunct/>
        <w:topLinePunct w:val="0"/>
        <w:bidi w:val="0"/>
        <w:adjustRightInd/>
        <w:snapToGrid w:val="0"/>
        <w:spacing w:line="560" w:lineRule="exact"/>
        <w:ind w:firstLine="664" w:firstLineChars="200"/>
        <w:contextualSpacing/>
        <w:textAlignment w:val="auto"/>
        <w:outlineLvl w:val="0"/>
        <w:rPr>
          <w:rFonts w:ascii="黑体" w:hAnsi="黑体" w:eastAsia="黑体" w:cs="Times New Roman"/>
          <w:b w:val="0"/>
          <w:bCs/>
          <w:color w:val="auto"/>
          <w:spacing w:val="6"/>
          <w:sz w:val="32"/>
          <w:szCs w:val="32"/>
          <w:lang w:val="en-US" w:eastAsia="zh-CN" w:bidi="en-US"/>
        </w:rPr>
      </w:pPr>
      <w:bookmarkStart w:id="4" w:name="_Toc1883838854"/>
      <w:r>
        <w:rPr>
          <w:rFonts w:hint="eastAsia" w:ascii="黑体" w:hAnsi="黑体" w:eastAsia="黑体" w:cs="Times New Roman"/>
          <w:b w:val="0"/>
          <w:bCs/>
          <w:color w:val="auto"/>
          <w:spacing w:val="6"/>
          <w:sz w:val="32"/>
          <w:szCs w:val="32"/>
          <w:lang w:val="en-US" w:eastAsia="zh-CN" w:bidi="en-US"/>
        </w:rPr>
        <w:t>二</w:t>
      </w:r>
      <w:r>
        <w:rPr>
          <w:rFonts w:ascii="黑体" w:hAnsi="黑体" w:eastAsia="黑体" w:cs="Times New Roman"/>
          <w:b w:val="0"/>
          <w:bCs/>
          <w:color w:val="auto"/>
          <w:spacing w:val="6"/>
          <w:sz w:val="32"/>
          <w:szCs w:val="32"/>
          <w:lang w:val="en-US" w:eastAsia="zh-CN" w:bidi="en-US"/>
        </w:rPr>
        <w:t>、指导思想与发展目标</w:t>
      </w:r>
      <w:bookmarkEnd w:id="4"/>
    </w:p>
    <w:p>
      <w:pPr>
        <w:keepNext w:val="0"/>
        <w:keepLines w:val="0"/>
        <w:pageBreakBefore w:val="0"/>
        <w:kinsoku/>
        <w:wordWrap/>
        <w:overflowPunct/>
        <w:topLinePunct w:val="0"/>
        <w:bidi w:val="0"/>
        <w:adjustRightInd/>
        <w:snapToGrid w:val="0"/>
        <w:spacing w:line="560" w:lineRule="exact"/>
        <w:ind w:firstLine="704" w:firstLineChars="220"/>
        <w:textAlignment w:val="auto"/>
        <w:outlineLvl w:val="1"/>
        <w:rPr>
          <w:rFonts w:ascii="楷体_GB2312" w:hAnsi="Cambria" w:eastAsia="楷体_GB2312" w:cs="Times New Roman"/>
          <w:b w:val="0"/>
          <w:bCs w:val="0"/>
          <w:color w:val="auto"/>
          <w:sz w:val="32"/>
          <w:szCs w:val="32"/>
          <w:lang w:val="en-US" w:eastAsia="zh-CN" w:bidi="en-US"/>
        </w:rPr>
      </w:pPr>
      <w:bookmarkStart w:id="5" w:name="_Toc2056724791"/>
      <w:r>
        <w:rPr>
          <w:rFonts w:ascii="楷体_GB2312" w:hAnsi="Cambria" w:eastAsia="楷体_GB2312" w:cs="Times New Roman"/>
          <w:b w:val="0"/>
          <w:bCs w:val="0"/>
          <w:color w:val="auto"/>
          <w:sz w:val="32"/>
          <w:szCs w:val="32"/>
          <w:lang w:val="en-US" w:eastAsia="zh-CN" w:bidi="en-US"/>
        </w:rPr>
        <w:t>（一）指导思想</w:t>
      </w:r>
      <w:bookmarkEnd w:id="5"/>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以习近平新时代中国特色社会主义思想为指导，深入贯彻党的十九大和十九届二中、三中、四中、五中全会精神，学习贯彻</w:t>
      </w:r>
      <w:r>
        <w:rPr>
          <w:rFonts w:ascii="仿宋_GB2312" w:hAnsi="Calibri" w:eastAsia="仿宋_GB2312" w:cs="Times New Roman"/>
          <w:color w:val="auto"/>
          <w:kern w:val="0"/>
          <w:sz w:val="32"/>
          <w:szCs w:val="32"/>
          <w:lang w:eastAsia="zh-CN" w:bidi="en-US"/>
        </w:rPr>
        <w:t>习近平总书记</w:t>
      </w:r>
      <w:r>
        <w:rPr>
          <w:rFonts w:hint="eastAsia" w:ascii="仿宋_GB2312" w:hAnsi="Calibri" w:eastAsia="仿宋_GB2312" w:cs="Times New Roman"/>
          <w:color w:val="auto"/>
          <w:kern w:val="0"/>
          <w:sz w:val="32"/>
          <w:szCs w:val="32"/>
          <w:lang w:eastAsia="zh-CN" w:bidi="en-US"/>
        </w:rPr>
        <w:t>对浙江、杭州工作</w:t>
      </w:r>
      <w:r>
        <w:rPr>
          <w:rFonts w:ascii="仿宋_GB2312" w:hAnsi="Calibri" w:eastAsia="仿宋_GB2312" w:cs="Times New Roman"/>
          <w:color w:val="auto"/>
          <w:kern w:val="0"/>
          <w:sz w:val="32"/>
          <w:szCs w:val="32"/>
          <w:lang w:eastAsia="zh-CN" w:bidi="en-US"/>
        </w:rPr>
        <w:t>的重要</w:t>
      </w:r>
      <w:r>
        <w:rPr>
          <w:rFonts w:hint="eastAsia" w:ascii="仿宋_GB2312" w:hAnsi="Calibri" w:eastAsia="仿宋_GB2312" w:cs="Times New Roman"/>
          <w:color w:val="auto"/>
          <w:kern w:val="0"/>
          <w:sz w:val="32"/>
          <w:szCs w:val="32"/>
          <w:lang w:eastAsia="zh-CN" w:bidi="en-US"/>
        </w:rPr>
        <w:t>指示</w:t>
      </w:r>
      <w:r>
        <w:rPr>
          <w:rFonts w:ascii="仿宋_GB2312" w:hAnsi="Calibri" w:eastAsia="仿宋_GB2312" w:cs="Times New Roman"/>
          <w:color w:val="auto"/>
          <w:kern w:val="0"/>
          <w:sz w:val="32"/>
          <w:szCs w:val="32"/>
          <w:lang w:eastAsia="zh-CN" w:bidi="en-US"/>
        </w:rPr>
        <w:t>精神</w:t>
      </w:r>
      <w:r>
        <w:rPr>
          <w:rFonts w:hint="eastAsia" w:ascii="仿宋_GB2312" w:hAnsi="Calibri" w:eastAsia="仿宋_GB2312" w:cs="Times New Roman"/>
          <w:color w:val="auto"/>
          <w:kern w:val="0"/>
          <w:sz w:val="32"/>
          <w:szCs w:val="32"/>
          <w:lang w:eastAsia="zh-CN" w:bidi="en-US"/>
        </w:rPr>
        <w:t>，按照“四个杭州”“四个一流”的要求，</w:t>
      </w:r>
      <w:r>
        <w:rPr>
          <w:rFonts w:ascii="仿宋_GB2312" w:hAnsi="Calibri" w:eastAsia="仿宋_GB2312" w:cs="Times New Roman"/>
          <w:color w:val="auto"/>
          <w:kern w:val="0"/>
          <w:sz w:val="32"/>
          <w:szCs w:val="32"/>
          <w:lang w:eastAsia="zh-CN" w:bidi="en-US"/>
        </w:rPr>
        <w:t>坚持高质量发展理念，</w:t>
      </w:r>
      <w:r>
        <w:rPr>
          <w:rFonts w:hint="eastAsia" w:ascii="仿宋_GB2312" w:hAnsi="Calibri" w:eastAsia="仿宋_GB2312" w:cs="Times New Roman"/>
          <w:color w:val="auto"/>
          <w:kern w:val="0"/>
          <w:sz w:val="32"/>
          <w:szCs w:val="32"/>
          <w:lang w:eastAsia="zh-CN" w:bidi="en-US"/>
        </w:rPr>
        <w:t>立足新发展阶段，构建新发展格局，围绕争当浙江高质量发展建设共同富裕示范区城市范例，把握亚</w:t>
      </w:r>
      <w:r>
        <w:rPr>
          <w:rFonts w:ascii="仿宋_GB2312" w:hAnsi="Calibri" w:eastAsia="仿宋_GB2312" w:cs="Times New Roman"/>
          <w:color w:val="auto"/>
          <w:kern w:val="0"/>
          <w:sz w:val="32"/>
          <w:szCs w:val="32"/>
          <w:lang w:eastAsia="zh-CN" w:bidi="en-US"/>
        </w:rPr>
        <w:t>运会举办契机，</w:t>
      </w:r>
      <w:r>
        <w:rPr>
          <w:rFonts w:hint="eastAsia" w:ascii="仿宋_GB2312" w:hAnsi="Calibri" w:eastAsia="仿宋_GB2312" w:cs="Times New Roman"/>
          <w:color w:val="auto"/>
          <w:kern w:val="0"/>
          <w:sz w:val="32"/>
          <w:szCs w:val="32"/>
          <w:lang w:eastAsia="zh-CN" w:bidi="en-US"/>
        </w:rPr>
        <w:t>坚持</w:t>
      </w:r>
      <w:r>
        <w:rPr>
          <w:rFonts w:ascii="仿宋_GB2312" w:hAnsi="Calibri" w:eastAsia="仿宋_GB2312" w:cs="Times New Roman"/>
          <w:color w:val="auto"/>
          <w:kern w:val="0"/>
          <w:sz w:val="32"/>
          <w:szCs w:val="32"/>
          <w:lang w:eastAsia="zh-CN" w:bidi="en-US"/>
        </w:rPr>
        <w:t>产业协同化、品牌国际化、</w:t>
      </w:r>
      <w:r>
        <w:rPr>
          <w:rFonts w:hint="eastAsia" w:ascii="仿宋_GB2312" w:hAnsi="Calibri" w:eastAsia="仿宋_GB2312" w:cs="Times New Roman"/>
          <w:color w:val="auto"/>
          <w:kern w:val="0"/>
          <w:sz w:val="32"/>
          <w:szCs w:val="32"/>
          <w:lang w:eastAsia="zh-CN" w:bidi="en-US"/>
        </w:rPr>
        <w:t>办展</w:t>
      </w:r>
      <w:r>
        <w:rPr>
          <w:rFonts w:ascii="仿宋_GB2312" w:hAnsi="Calibri" w:eastAsia="仿宋_GB2312" w:cs="Times New Roman"/>
          <w:color w:val="auto"/>
          <w:kern w:val="0"/>
          <w:sz w:val="32"/>
          <w:szCs w:val="32"/>
          <w:lang w:eastAsia="zh-CN" w:bidi="en-US"/>
        </w:rPr>
        <w:t>数字化</w:t>
      </w:r>
      <w:r>
        <w:rPr>
          <w:rFonts w:hint="eastAsia" w:ascii="仿宋_GB2312" w:hAnsi="Calibri" w:eastAsia="仿宋_GB2312" w:cs="Times New Roman"/>
          <w:color w:val="auto"/>
          <w:kern w:val="0"/>
          <w:sz w:val="32"/>
          <w:szCs w:val="32"/>
          <w:lang w:eastAsia="zh-CN" w:bidi="en-US"/>
        </w:rPr>
        <w:t>、</w:t>
      </w:r>
      <w:r>
        <w:rPr>
          <w:rFonts w:ascii="仿宋_GB2312" w:hAnsi="Calibri" w:eastAsia="仿宋_GB2312" w:cs="Times New Roman"/>
          <w:color w:val="auto"/>
          <w:kern w:val="0"/>
          <w:sz w:val="32"/>
          <w:szCs w:val="32"/>
          <w:lang w:eastAsia="zh-CN" w:bidi="en-US"/>
        </w:rPr>
        <w:t>运营标准化</w:t>
      </w:r>
      <w:r>
        <w:rPr>
          <w:rFonts w:hint="eastAsia" w:ascii="仿宋_GB2312" w:hAnsi="Calibri" w:eastAsia="仿宋_GB2312" w:cs="Times New Roman"/>
          <w:color w:val="auto"/>
          <w:kern w:val="0"/>
          <w:sz w:val="32"/>
          <w:szCs w:val="32"/>
          <w:lang w:eastAsia="zh-CN" w:bidi="en-US"/>
        </w:rPr>
        <w:t>、发展</w:t>
      </w:r>
      <w:r>
        <w:rPr>
          <w:rFonts w:ascii="仿宋_GB2312" w:hAnsi="Calibri" w:eastAsia="仿宋_GB2312" w:cs="Times New Roman"/>
          <w:color w:val="auto"/>
          <w:kern w:val="0"/>
          <w:sz w:val="32"/>
          <w:szCs w:val="32"/>
          <w:lang w:eastAsia="zh-CN" w:bidi="en-US"/>
        </w:rPr>
        <w:t>生态化方向，发挥杭州特色产业优势，加强会展与文化、体育赛事的融合，</w:t>
      </w:r>
      <w:r>
        <w:rPr>
          <w:rFonts w:hint="eastAsia" w:ascii="仿宋_GB2312" w:hAnsi="Calibri" w:eastAsia="仿宋_GB2312" w:cs="Times New Roman"/>
          <w:color w:val="auto"/>
          <w:kern w:val="0"/>
          <w:sz w:val="32"/>
          <w:szCs w:val="32"/>
          <w:lang w:eastAsia="zh-CN" w:bidi="en-US"/>
        </w:rPr>
        <w:t>以会展赋能实体经济，通过体制机制创新，</w:t>
      </w:r>
      <w:r>
        <w:rPr>
          <w:rFonts w:ascii="仿宋_GB2312" w:hAnsi="Calibri" w:eastAsia="仿宋_GB2312" w:cs="Times New Roman"/>
          <w:color w:val="auto"/>
          <w:kern w:val="0"/>
          <w:sz w:val="32"/>
          <w:szCs w:val="32"/>
          <w:lang w:eastAsia="zh-CN" w:bidi="en-US"/>
        </w:rPr>
        <w:t>引进优秀会展人才，培育壮大市场主体，推进办会办展模式转型升级，</w:t>
      </w:r>
      <w:r>
        <w:rPr>
          <w:rFonts w:hint="eastAsia" w:ascii="仿宋_GB2312" w:hAnsi="Calibri" w:eastAsia="仿宋_GB2312" w:cs="Times New Roman"/>
          <w:color w:val="auto"/>
          <w:kern w:val="0"/>
          <w:sz w:val="32"/>
          <w:szCs w:val="32"/>
          <w:lang w:eastAsia="zh-CN" w:bidi="en-US"/>
        </w:rPr>
        <w:t>实现</w:t>
      </w:r>
      <w:r>
        <w:rPr>
          <w:rFonts w:ascii="仿宋_GB2312" w:hAnsi="Calibri" w:eastAsia="仿宋_GB2312" w:cs="Times New Roman"/>
          <w:color w:val="auto"/>
          <w:kern w:val="0"/>
          <w:sz w:val="32"/>
          <w:szCs w:val="32"/>
          <w:lang w:eastAsia="zh-CN" w:bidi="en-US"/>
        </w:rPr>
        <w:t>全域联动发展，</w:t>
      </w:r>
      <w:r>
        <w:rPr>
          <w:rFonts w:hint="eastAsia" w:ascii="仿宋_GB2312" w:hAnsi="Calibri" w:eastAsia="仿宋_GB2312" w:cs="Times New Roman"/>
          <w:color w:val="auto"/>
          <w:spacing w:val="6"/>
          <w:kern w:val="0"/>
          <w:sz w:val="32"/>
          <w:szCs w:val="32"/>
          <w:lang w:eastAsia="zh-CN" w:bidi="en-US"/>
        </w:rPr>
        <w:t>努力把杭州打造成为全球知名的会展之都、赛事之城</w:t>
      </w:r>
      <w:r>
        <w:rPr>
          <w:rFonts w:ascii="仿宋_GB2312" w:hAnsi="Calibri" w:eastAsia="仿宋_GB2312" w:cs="Times New Roman"/>
          <w:color w:val="auto"/>
          <w:kern w:val="0"/>
          <w:sz w:val="32"/>
          <w:szCs w:val="32"/>
          <w:lang w:eastAsia="zh-CN" w:bidi="en-US"/>
        </w:rPr>
        <w:t>。</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outlineLvl w:val="1"/>
        <w:rPr>
          <w:rFonts w:ascii="楷体_GB2312" w:hAnsi="Cambria" w:eastAsia="楷体_GB2312" w:cs="Times New Roman"/>
          <w:b w:val="0"/>
          <w:bCs w:val="0"/>
          <w:color w:val="auto"/>
          <w:sz w:val="32"/>
          <w:szCs w:val="32"/>
          <w:lang w:val="en-US" w:eastAsia="zh-CN" w:bidi="en-US"/>
        </w:rPr>
      </w:pPr>
      <w:bookmarkStart w:id="6" w:name="_Toc1367068825"/>
      <w:r>
        <w:rPr>
          <w:rFonts w:ascii="楷体_GB2312" w:hAnsi="Cambria" w:eastAsia="楷体_GB2312" w:cs="Times New Roman"/>
          <w:b w:val="0"/>
          <w:bCs w:val="0"/>
          <w:color w:val="auto"/>
          <w:sz w:val="32"/>
          <w:szCs w:val="32"/>
          <w:lang w:val="en-US" w:eastAsia="zh-CN" w:bidi="en-US"/>
        </w:rPr>
        <w:t>（二）发展方向</w:t>
      </w:r>
      <w:bookmarkEnd w:id="6"/>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Calibri" w:hAnsi="Calibri" w:eastAsia="仿宋_GB2312" w:cs="Times New Roman"/>
          <w:b/>
          <w:color w:val="auto"/>
          <w:spacing w:val="6"/>
          <w:kern w:val="0"/>
          <w:sz w:val="32"/>
          <w:szCs w:val="32"/>
          <w:lang w:eastAsia="zh-CN" w:bidi="en-US"/>
        </w:rPr>
      </w:pPr>
      <w:r>
        <w:rPr>
          <w:rFonts w:ascii="Calibri" w:hAnsi="Calibri" w:eastAsia="仿宋_GB2312" w:cs="Times New Roman"/>
          <w:b/>
          <w:color w:val="auto"/>
          <w:spacing w:val="6"/>
          <w:kern w:val="0"/>
          <w:sz w:val="32"/>
          <w:szCs w:val="32"/>
          <w:lang w:eastAsia="zh-CN" w:bidi="en-US"/>
        </w:rPr>
        <w:t>产业协同化。</w:t>
      </w:r>
      <w:r>
        <w:rPr>
          <w:rFonts w:ascii="Calibri" w:hAnsi="Calibri" w:eastAsia="仿宋_GB2312" w:cs="Times New Roman"/>
          <w:color w:val="auto"/>
          <w:spacing w:val="6"/>
          <w:kern w:val="0"/>
          <w:sz w:val="32"/>
          <w:szCs w:val="32"/>
          <w:lang w:eastAsia="zh-CN" w:bidi="en-US"/>
        </w:rPr>
        <w:t>将会展业与数字经济、新制造、新消费、文化创意、旅游休闲等杭州优势和特色产业紧密联系起来</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策划举办各类专业会展</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将会展业与体育赛事、重大活动等联动起来，促进产业间行业间联动发展。</w:t>
      </w:r>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Calibri" w:hAnsi="Calibri" w:eastAsia="仿宋_GB2312" w:cs="Times New Roman"/>
          <w:color w:val="auto"/>
          <w:spacing w:val="6"/>
          <w:kern w:val="0"/>
          <w:sz w:val="32"/>
          <w:szCs w:val="32"/>
          <w:lang w:eastAsia="zh-CN" w:bidi="en-US"/>
        </w:rPr>
      </w:pPr>
      <w:r>
        <w:rPr>
          <w:rFonts w:ascii="Calibri" w:hAnsi="Calibri" w:eastAsia="仿宋_GB2312" w:cs="Times New Roman"/>
          <w:b/>
          <w:color w:val="auto"/>
          <w:spacing w:val="6"/>
          <w:kern w:val="0"/>
          <w:sz w:val="32"/>
          <w:szCs w:val="32"/>
          <w:lang w:eastAsia="zh-CN" w:bidi="en-US"/>
        </w:rPr>
        <w:t>品牌国际化。</w:t>
      </w:r>
      <w:r>
        <w:rPr>
          <w:rFonts w:ascii="Calibri" w:hAnsi="Calibri" w:eastAsia="仿宋_GB2312" w:cs="Times New Roman"/>
          <w:color w:val="auto"/>
          <w:spacing w:val="6"/>
          <w:kern w:val="0"/>
          <w:sz w:val="32"/>
          <w:szCs w:val="32"/>
          <w:lang w:eastAsia="zh-CN" w:bidi="en-US"/>
        </w:rPr>
        <w:t>将品牌国际化提升作为杭州会展业发展的重要着力点，加强国际知名品牌会展项目引进，培育发展新型品牌会展，以品牌增强会展粘性，扩大品牌会展国际宣传、国际输出力度。</w:t>
      </w:r>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Calibri" w:hAnsi="Calibri" w:eastAsia="仿宋_GB2312" w:cs="Times New Roman"/>
          <w:color w:val="auto"/>
          <w:spacing w:val="6"/>
          <w:kern w:val="0"/>
          <w:sz w:val="32"/>
          <w:szCs w:val="32"/>
          <w:lang w:eastAsia="zh-CN" w:bidi="en-US"/>
        </w:rPr>
      </w:pPr>
      <w:r>
        <w:rPr>
          <w:rFonts w:hint="eastAsia" w:ascii="Calibri" w:hAnsi="Calibri" w:eastAsia="仿宋_GB2312" w:cs="Times New Roman"/>
          <w:b/>
          <w:color w:val="auto"/>
          <w:spacing w:val="6"/>
          <w:kern w:val="0"/>
          <w:sz w:val="32"/>
          <w:szCs w:val="32"/>
          <w:lang w:eastAsia="zh-CN" w:bidi="en-US"/>
        </w:rPr>
        <w:t>办展</w:t>
      </w:r>
      <w:r>
        <w:rPr>
          <w:rFonts w:ascii="Calibri" w:hAnsi="Calibri" w:eastAsia="仿宋_GB2312" w:cs="Times New Roman"/>
          <w:b/>
          <w:color w:val="auto"/>
          <w:spacing w:val="6"/>
          <w:kern w:val="0"/>
          <w:sz w:val="32"/>
          <w:szCs w:val="32"/>
          <w:lang w:eastAsia="zh-CN" w:bidi="en-US"/>
        </w:rPr>
        <w:t>数字化。</w:t>
      </w:r>
      <w:r>
        <w:rPr>
          <w:rFonts w:ascii="Calibri" w:hAnsi="Calibri" w:eastAsia="仿宋_GB2312" w:cs="Times New Roman"/>
          <w:color w:val="auto"/>
          <w:spacing w:val="6"/>
          <w:kern w:val="0"/>
          <w:sz w:val="32"/>
          <w:szCs w:val="32"/>
          <w:lang w:eastAsia="zh-CN" w:bidi="en-US"/>
        </w:rPr>
        <w:t>充分发挥杭州在数字经济方面的产业和技术优势，积极应用人工智能、云计算与大数据、物联网等信息技术提升会展业</w:t>
      </w:r>
      <w:r>
        <w:rPr>
          <w:rFonts w:hint="eastAsia" w:ascii="Calibri" w:hAnsi="Calibri" w:eastAsia="仿宋_GB2312" w:cs="Times New Roman"/>
          <w:color w:val="auto"/>
          <w:spacing w:val="6"/>
          <w:kern w:val="0"/>
          <w:sz w:val="32"/>
          <w:szCs w:val="32"/>
          <w:lang w:eastAsia="zh-CN" w:bidi="en-US"/>
        </w:rPr>
        <w:t>发展水平</w:t>
      </w:r>
      <w:r>
        <w:rPr>
          <w:rFonts w:ascii="Calibri" w:hAnsi="Calibri" w:eastAsia="仿宋_GB2312" w:cs="Times New Roman"/>
          <w:color w:val="auto"/>
          <w:spacing w:val="6"/>
          <w:kern w:val="0"/>
          <w:sz w:val="32"/>
          <w:szCs w:val="32"/>
          <w:lang w:eastAsia="zh-CN" w:bidi="en-US"/>
        </w:rPr>
        <w:t>，建设新型数字场馆，对现有场馆</w:t>
      </w:r>
      <w:r>
        <w:rPr>
          <w:rFonts w:hint="eastAsia" w:ascii="Calibri" w:hAnsi="Calibri" w:eastAsia="仿宋_GB2312" w:cs="Times New Roman"/>
          <w:color w:val="auto"/>
          <w:spacing w:val="6"/>
          <w:kern w:val="0"/>
          <w:sz w:val="32"/>
          <w:szCs w:val="32"/>
          <w:lang w:eastAsia="zh-CN" w:bidi="en-US"/>
        </w:rPr>
        <w:t>进行</w:t>
      </w:r>
      <w:r>
        <w:rPr>
          <w:rFonts w:ascii="Calibri" w:hAnsi="Calibri" w:eastAsia="仿宋_GB2312" w:cs="Times New Roman"/>
          <w:color w:val="auto"/>
          <w:spacing w:val="6"/>
          <w:kern w:val="0"/>
          <w:sz w:val="32"/>
          <w:szCs w:val="32"/>
          <w:lang w:eastAsia="zh-CN" w:bidi="en-US"/>
        </w:rPr>
        <w:t>数字化改造，推进会展业智慧</w:t>
      </w:r>
      <w:r>
        <w:rPr>
          <w:rFonts w:hint="eastAsia" w:ascii="Calibri" w:hAnsi="Calibri" w:eastAsia="仿宋_GB2312" w:cs="Times New Roman"/>
          <w:color w:val="auto"/>
          <w:spacing w:val="6"/>
          <w:kern w:val="0"/>
          <w:sz w:val="32"/>
          <w:szCs w:val="32"/>
          <w:lang w:eastAsia="zh-CN" w:bidi="en-US"/>
        </w:rPr>
        <w:t>化</w:t>
      </w:r>
      <w:r>
        <w:rPr>
          <w:rFonts w:ascii="Calibri" w:hAnsi="Calibri" w:eastAsia="仿宋_GB2312" w:cs="Times New Roman"/>
          <w:color w:val="auto"/>
          <w:spacing w:val="6"/>
          <w:kern w:val="0"/>
          <w:sz w:val="32"/>
          <w:szCs w:val="32"/>
          <w:lang w:eastAsia="zh-CN" w:bidi="en-US"/>
        </w:rPr>
        <w:t>管理和服务。</w:t>
      </w:r>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Calibri" w:hAnsi="Calibri" w:eastAsia="仿宋_GB2312" w:cs="Times New Roman"/>
          <w:color w:val="auto"/>
          <w:spacing w:val="6"/>
          <w:kern w:val="0"/>
          <w:sz w:val="32"/>
          <w:szCs w:val="32"/>
          <w:lang w:eastAsia="zh-CN" w:bidi="en-US"/>
        </w:rPr>
      </w:pPr>
      <w:r>
        <w:rPr>
          <w:rFonts w:ascii="Calibri" w:hAnsi="Calibri" w:eastAsia="仿宋_GB2312" w:cs="Times New Roman"/>
          <w:b/>
          <w:color w:val="auto"/>
          <w:spacing w:val="6"/>
          <w:kern w:val="0"/>
          <w:sz w:val="32"/>
          <w:szCs w:val="32"/>
          <w:lang w:eastAsia="zh-CN" w:bidi="en-US"/>
        </w:rPr>
        <w:t>运营标准化。</w:t>
      </w:r>
      <w:r>
        <w:rPr>
          <w:rFonts w:ascii="Calibri" w:hAnsi="Calibri" w:eastAsia="仿宋_GB2312" w:cs="Times New Roman"/>
          <w:color w:val="auto"/>
          <w:spacing w:val="6"/>
          <w:kern w:val="0"/>
          <w:sz w:val="32"/>
          <w:szCs w:val="32"/>
          <w:lang w:eastAsia="zh-CN" w:bidi="en-US"/>
        </w:rPr>
        <w:t>落实国际会展业标准，执行国家会展标准，组织制定一批地方标准、团体标准，引导有实力的会展企业主导制定相关标准，力争在线上会展、数字会展场馆</w:t>
      </w:r>
      <w:r>
        <w:rPr>
          <w:rFonts w:hint="eastAsia" w:ascii="Calibri" w:hAnsi="Calibri" w:eastAsia="仿宋_GB2312" w:cs="Times New Roman"/>
          <w:color w:val="auto"/>
          <w:spacing w:val="6"/>
          <w:kern w:val="0"/>
          <w:sz w:val="32"/>
          <w:szCs w:val="32"/>
          <w:lang w:eastAsia="zh-CN" w:bidi="en-US"/>
        </w:rPr>
        <w:t>建设</w:t>
      </w:r>
      <w:r>
        <w:rPr>
          <w:rFonts w:ascii="Calibri" w:hAnsi="Calibri" w:eastAsia="仿宋_GB2312" w:cs="Times New Roman"/>
          <w:color w:val="auto"/>
          <w:spacing w:val="6"/>
          <w:kern w:val="0"/>
          <w:sz w:val="32"/>
          <w:szCs w:val="32"/>
          <w:lang w:eastAsia="zh-CN" w:bidi="en-US"/>
        </w:rPr>
        <w:t>、会展大数据中心、会展生态化等领域标准制定上有所突破。</w:t>
      </w:r>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Calibri" w:hAnsi="Calibri" w:eastAsia="仿宋_GB2312" w:cs="Times New Roman"/>
          <w:color w:val="auto"/>
          <w:spacing w:val="6"/>
          <w:kern w:val="0"/>
          <w:sz w:val="32"/>
          <w:szCs w:val="32"/>
          <w:lang w:eastAsia="zh-CN" w:bidi="en-US"/>
        </w:rPr>
      </w:pPr>
      <w:r>
        <w:rPr>
          <w:rFonts w:hint="eastAsia" w:ascii="Calibri" w:hAnsi="Calibri" w:eastAsia="仿宋_GB2312" w:cs="Times New Roman"/>
          <w:b/>
          <w:color w:val="auto"/>
          <w:spacing w:val="6"/>
          <w:kern w:val="0"/>
          <w:sz w:val="32"/>
          <w:szCs w:val="32"/>
          <w:lang w:eastAsia="zh-CN" w:bidi="en-US"/>
        </w:rPr>
        <w:t>发展</w:t>
      </w:r>
      <w:r>
        <w:rPr>
          <w:rFonts w:ascii="Calibri" w:hAnsi="Calibri" w:eastAsia="仿宋_GB2312" w:cs="Times New Roman"/>
          <w:b/>
          <w:color w:val="auto"/>
          <w:spacing w:val="6"/>
          <w:kern w:val="0"/>
          <w:sz w:val="32"/>
          <w:szCs w:val="32"/>
          <w:lang w:eastAsia="zh-CN" w:bidi="en-US"/>
        </w:rPr>
        <w:t>生态化。</w:t>
      </w:r>
      <w:r>
        <w:rPr>
          <w:rFonts w:ascii="Calibri" w:hAnsi="Calibri" w:eastAsia="仿宋_GB2312" w:cs="Times New Roman"/>
          <w:color w:val="auto"/>
          <w:spacing w:val="6"/>
          <w:kern w:val="0"/>
          <w:sz w:val="32"/>
          <w:szCs w:val="32"/>
          <w:lang w:eastAsia="zh-CN" w:bidi="en-US"/>
        </w:rPr>
        <w:t>坚持</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低碳、节约、环保、安全</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的发展理念，注重资源整合与循环利用，积极提高会展场馆规划、设计</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建设</w:t>
      </w:r>
      <w:r>
        <w:rPr>
          <w:rFonts w:hint="eastAsia" w:ascii="Calibri" w:hAnsi="Calibri" w:eastAsia="仿宋_GB2312" w:cs="Times New Roman"/>
          <w:color w:val="auto"/>
          <w:spacing w:val="6"/>
          <w:kern w:val="0"/>
          <w:sz w:val="32"/>
          <w:szCs w:val="32"/>
          <w:lang w:eastAsia="zh-CN" w:bidi="en-US"/>
        </w:rPr>
        <w:t>、运营等会展全产业链</w:t>
      </w:r>
      <w:r>
        <w:rPr>
          <w:rFonts w:ascii="Calibri" w:hAnsi="Calibri" w:eastAsia="仿宋_GB2312" w:cs="Times New Roman"/>
          <w:color w:val="auto"/>
          <w:spacing w:val="6"/>
          <w:kern w:val="0"/>
          <w:sz w:val="32"/>
          <w:szCs w:val="32"/>
          <w:lang w:eastAsia="zh-CN" w:bidi="en-US"/>
        </w:rPr>
        <w:t>的生态化水平，理顺会展产业链上下游要素发展之间的相互关系，</w:t>
      </w:r>
      <w:r>
        <w:rPr>
          <w:rFonts w:hint="eastAsia" w:ascii="Calibri" w:hAnsi="Calibri" w:eastAsia="仿宋_GB2312" w:cs="Times New Roman"/>
          <w:color w:val="auto"/>
          <w:spacing w:val="6"/>
          <w:kern w:val="0"/>
          <w:sz w:val="32"/>
          <w:szCs w:val="32"/>
          <w:lang w:eastAsia="zh-CN" w:bidi="en-US"/>
        </w:rPr>
        <w:t>推进</w:t>
      </w:r>
      <w:r>
        <w:rPr>
          <w:rFonts w:ascii="Calibri" w:hAnsi="Calibri" w:eastAsia="仿宋_GB2312" w:cs="Times New Roman"/>
          <w:color w:val="auto"/>
          <w:spacing w:val="6"/>
          <w:kern w:val="0"/>
          <w:sz w:val="32"/>
          <w:szCs w:val="32"/>
          <w:lang w:eastAsia="zh-CN" w:bidi="en-US"/>
        </w:rPr>
        <w:t>会展产业的可持续发展。</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outlineLvl w:val="1"/>
        <w:rPr>
          <w:rFonts w:ascii="楷体_GB2312" w:hAnsi="Cambria" w:eastAsia="楷体_GB2312" w:cs="Times New Roman"/>
          <w:b w:val="0"/>
          <w:bCs w:val="0"/>
          <w:color w:val="auto"/>
          <w:sz w:val="32"/>
          <w:szCs w:val="32"/>
          <w:lang w:val="en-US" w:eastAsia="zh-CN" w:bidi="en-US"/>
        </w:rPr>
      </w:pPr>
      <w:bookmarkStart w:id="7" w:name="_Toc834982538"/>
      <w:r>
        <w:rPr>
          <w:rFonts w:ascii="楷体_GB2312" w:hAnsi="Cambria" w:eastAsia="楷体_GB2312" w:cs="Times New Roman"/>
          <w:b w:val="0"/>
          <w:bCs w:val="0"/>
          <w:color w:val="auto"/>
          <w:sz w:val="32"/>
          <w:szCs w:val="32"/>
          <w:lang w:val="en-US" w:eastAsia="zh-CN" w:bidi="en-US"/>
        </w:rPr>
        <w:t>（三）主要目标</w:t>
      </w:r>
      <w:bookmarkEnd w:id="7"/>
    </w:p>
    <w:p>
      <w:pPr>
        <w:keepNext w:val="0"/>
        <w:keepLines w:val="0"/>
        <w:pageBreakBefore w:val="0"/>
        <w:kinsoku/>
        <w:wordWrap/>
        <w:overflowPunct/>
        <w:topLinePunct w:val="0"/>
        <w:bidi w:val="0"/>
        <w:adjustRightInd/>
        <w:snapToGrid w:val="0"/>
        <w:spacing w:line="560" w:lineRule="exact"/>
        <w:ind w:firstLine="664" w:firstLineChars="200"/>
        <w:contextualSpacing/>
        <w:textAlignment w:val="auto"/>
        <w:rPr>
          <w:rFonts w:hint="eastAsia" w:ascii="仿宋_GB2312" w:hAnsi="Calibri" w:eastAsia="仿宋_GB2312" w:cs="Times New Roman"/>
          <w:color w:val="auto"/>
          <w:spacing w:val="6"/>
          <w:kern w:val="0"/>
          <w:sz w:val="32"/>
          <w:szCs w:val="32"/>
          <w:u w:val="none"/>
          <w:lang w:eastAsia="zh-CN" w:bidi="en-US"/>
        </w:rPr>
      </w:pPr>
      <w:r>
        <w:rPr>
          <w:rFonts w:hint="eastAsia" w:ascii="仿宋_GB2312" w:hAnsi="Calibri" w:eastAsia="仿宋_GB2312" w:cs="Times New Roman"/>
          <w:color w:val="auto"/>
          <w:spacing w:val="6"/>
          <w:kern w:val="0"/>
          <w:sz w:val="32"/>
          <w:szCs w:val="32"/>
          <w:u w:val="none"/>
          <w:lang w:eastAsia="zh-CN" w:bidi="en-US"/>
        </w:rPr>
        <w:t>到2025年，形成品牌丰富、主体强大、设施完善、数智引领的现代会展产业体系，数智会展引领全国，国际会议目的地城市地位进一步提升</w:t>
      </w:r>
      <w:r>
        <w:rPr>
          <w:rFonts w:ascii="Calibri" w:hAnsi="Calibri" w:eastAsia="仿宋_GB2312" w:cs="Times New Roman"/>
          <w:color w:val="auto"/>
          <w:kern w:val="0"/>
          <w:sz w:val="32"/>
          <w:szCs w:val="32"/>
          <w:u w:val="none"/>
          <w:lang w:eastAsia="zh-CN" w:bidi="en-US"/>
        </w:rPr>
        <w:t>，</w:t>
      </w:r>
      <w:r>
        <w:rPr>
          <w:rFonts w:hint="eastAsia" w:ascii="仿宋_GB2312" w:hAnsi="Calibri" w:eastAsia="仿宋_GB2312" w:cs="Times New Roman"/>
          <w:color w:val="auto"/>
          <w:spacing w:val="6"/>
          <w:kern w:val="0"/>
          <w:sz w:val="32"/>
          <w:szCs w:val="32"/>
          <w:u w:val="none"/>
          <w:lang w:eastAsia="zh-CN" w:bidi="en-US"/>
        </w:rPr>
        <w:t>全球知名的会展之都、赛事之城打造取得重要成果。</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shd w:val="clear" w:color="auto" w:fill="FFFFFF"/>
          <w:lang w:eastAsia="zh-CN" w:bidi="en-US"/>
        </w:rPr>
      </w:pPr>
      <w:r>
        <w:rPr>
          <w:rFonts w:hint="eastAsia" w:ascii="仿宋_GB2312" w:hAnsi="Calibri" w:eastAsia="仿宋_GB2312" w:cs="Times New Roman"/>
          <w:b/>
          <w:color w:val="auto"/>
          <w:spacing w:val="6"/>
          <w:kern w:val="0"/>
          <w:sz w:val="32"/>
          <w:szCs w:val="32"/>
          <w:lang w:eastAsia="zh-CN" w:bidi="en-US"/>
        </w:rPr>
        <w:t>国际化水平进一步提升。</w:t>
      </w:r>
      <w:r>
        <w:rPr>
          <w:rFonts w:hint="eastAsia" w:ascii="仿宋_GB2312" w:hAnsi="Calibri" w:eastAsia="仿宋_GB2312" w:cs="Times New Roman"/>
          <w:color w:val="auto"/>
          <w:spacing w:val="6"/>
          <w:kern w:val="0"/>
          <w:sz w:val="32"/>
          <w:szCs w:val="32"/>
          <w:shd w:val="clear" w:color="auto" w:fill="FFFFFF"/>
          <w:lang w:eastAsia="zh-CN" w:bidi="en-US"/>
        </w:rPr>
        <w:t>到2025年，</w:t>
      </w:r>
      <w:r>
        <w:rPr>
          <w:rFonts w:hint="eastAsia" w:ascii="仿宋_GB2312" w:hAnsi="Calibri" w:eastAsia="仿宋_GB2312" w:cs="Times New Roman"/>
          <w:color w:val="auto"/>
          <w:spacing w:val="6"/>
          <w:kern w:val="0"/>
          <w:sz w:val="32"/>
          <w:szCs w:val="32"/>
          <w:lang w:eastAsia="zh-CN" w:bidi="en-US"/>
        </w:rPr>
        <w:t>新增</w:t>
      </w:r>
      <w:r>
        <w:rPr>
          <w:rFonts w:hint="eastAsia" w:ascii="仿宋_GB2312" w:hAnsi="Calibri" w:eastAsia="仿宋_GB2312" w:cs="Times New Roman"/>
          <w:bCs/>
          <w:color w:val="auto"/>
          <w:kern w:val="0"/>
          <w:sz w:val="32"/>
          <w:szCs w:val="32"/>
          <w:lang w:eastAsia="zh-CN" w:bidi="en-US"/>
        </w:rPr>
        <w:t>国际展览业协会（UFI）</w:t>
      </w:r>
      <w:r>
        <w:rPr>
          <w:rFonts w:hint="eastAsia" w:ascii="仿宋_GB2312" w:hAnsi="Calibri" w:eastAsia="仿宋_GB2312" w:cs="Times New Roman"/>
          <w:color w:val="auto"/>
          <w:spacing w:val="6"/>
          <w:kern w:val="0"/>
          <w:sz w:val="32"/>
          <w:szCs w:val="32"/>
          <w:lang w:eastAsia="zh-CN" w:bidi="en-US"/>
        </w:rPr>
        <w:t>认证会展项目5个，</w:t>
      </w:r>
      <w:r>
        <w:rPr>
          <w:rFonts w:hint="eastAsia" w:ascii="仿宋_GB2312" w:hAnsi="Calibri" w:eastAsia="仿宋_GB2312" w:cs="Times New Roman"/>
          <w:color w:val="auto"/>
          <w:spacing w:val="6"/>
          <w:kern w:val="0"/>
          <w:sz w:val="32"/>
          <w:szCs w:val="32"/>
          <w:shd w:val="clear" w:color="auto" w:fill="FFFFFF"/>
          <w:lang w:eastAsia="zh-CN" w:bidi="en-US"/>
        </w:rPr>
        <w:t>每年举办国际性展览20个左右，占全部展览的比重达到10%左右</w:t>
      </w:r>
      <w:r>
        <w:rPr>
          <w:rFonts w:hint="eastAsia" w:ascii="仿宋_GB2312" w:hAnsi="Calibri" w:eastAsia="仿宋_GB2312" w:cs="Times New Roman"/>
          <w:color w:val="auto"/>
          <w:spacing w:val="6"/>
          <w:kern w:val="0"/>
          <w:sz w:val="32"/>
          <w:szCs w:val="32"/>
          <w:lang w:eastAsia="zh-CN" w:bidi="en-US"/>
        </w:rPr>
        <w:t>；</w:t>
      </w:r>
      <w:r>
        <w:rPr>
          <w:rFonts w:hint="eastAsia" w:ascii="仿宋_GB2312" w:hAnsi="Calibri" w:eastAsia="仿宋_GB2312" w:cs="Times New Roman"/>
          <w:color w:val="auto"/>
          <w:spacing w:val="6"/>
          <w:kern w:val="0"/>
          <w:sz w:val="32"/>
          <w:szCs w:val="32"/>
          <w:shd w:val="clear" w:color="auto" w:fill="FFFFFF"/>
          <w:lang w:eastAsia="zh-CN" w:bidi="en-US"/>
        </w:rPr>
        <w:t>列入国际大会及会议协会（ICCA）公布在杭举办的国际会议数量达到50个左右，举办国际性会议1000个左右，占全部会议的比重达到5%左右，全球会议目的地城市排名争取进入前60位，打响“开会观展到杭州”品牌。</w:t>
      </w:r>
    </w:p>
    <w:p>
      <w:pPr>
        <w:keepNext w:val="0"/>
        <w:keepLines w:val="0"/>
        <w:pageBreakBefore w:val="0"/>
        <w:kinsoku/>
        <w:wordWrap/>
        <w:overflowPunct/>
        <w:topLinePunct w:val="0"/>
        <w:bidi w:val="0"/>
        <w:adjustRightInd/>
        <w:snapToGrid w:val="0"/>
        <w:spacing w:line="560" w:lineRule="exact"/>
        <w:ind w:firstLine="666" w:firstLineChars="200"/>
        <w:contextualSpacing/>
        <w:jc w:val="left"/>
        <w:textAlignment w:val="auto"/>
        <w:rPr>
          <w:rFonts w:ascii="仿宋_GB2312" w:hAnsi="Calibri" w:eastAsia="仿宋_GB2312" w:cs="Times New Roman"/>
          <w:color w:val="auto"/>
          <w:spacing w:val="6"/>
          <w:kern w:val="0"/>
          <w:sz w:val="32"/>
          <w:szCs w:val="32"/>
          <w:shd w:val="clear" w:color="auto" w:fill="FFFFFF"/>
          <w:lang w:eastAsia="zh-CN" w:bidi="en-US"/>
        </w:rPr>
      </w:pPr>
      <w:r>
        <w:rPr>
          <w:rFonts w:hint="eastAsia" w:ascii="仿宋_GB2312" w:hAnsi="Calibri" w:eastAsia="仿宋_GB2312" w:cs="Times New Roman"/>
          <w:b/>
          <w:color w:val="auto"/>
          <w:spacing w:val="6"/>
          <w:kern w:val="0"/>
          <w:sz w:val="32"/>
          <w:szCs w:val="32"/>
          <w:shd w:val="clear" w:color="auto" w:fill="FFFFFF"/>
          <w:lang w:eastAsia="zh-CN" w:bidi="en-US"/>
        </w:rPr>
        <w:t>设施布局进一步优化。</w:t>
      </w:r>
      <w:r>
        <w:rPr>
          <w:rFonts w:ascii="Calibri" w:hAnsi="Calibri" w:eastAsia="仿宋_GB2312" w:cs="Times New Roman"/>
          <w:color w:val="auto"/>
          <w:spacing w:val="6"/>
          <w:kern w:val="0"/>
          <w:sz w:val="32"/>
          <w:szCs w:val="32"/>
          <w:lang w:eastAsia="zh-CN" w:bidi="en-US"/>
        </w:rPr>
        <w:t>加快形成</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双心驱动、多极联动，全域协同</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的杭州会展业发展新格局</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重点建设</w:t>
      </w:r>
      <w:r>
        <w:rPr>
          <w:rFonts w:hint="eastAsia" w:ascii="Calibri" w:hAnsi="Calibri" w:eastAsia="仿宋_GB2312" w:cs="Times New Roman"/>
          <w:color w:val="auto"/>
          <w:spacing w:val="6"/>
          <w:kern w:val="0"/>
          <w:sz w:val="32"/>
          <w:szCs w:val="32"/>
          <w:lang w:eastAsia="zh-CN" w:bidi="en-US"/>
        </w:rPr>
        <w:t>杭州大</w:t>
      </w:r>
      <w:r>
        <w:rPr>
          <w:rFonts w:ascii="Calibri" w:hAnsi="Calibri" w:eastAsia="仿宋_GB2312" w:cs="Times New Roman"/>
          <w:color w:val="auto"/>
          <w:spacing w:val="6"/>
          <w:kern w:val="0"/>
          <w:sz w:val="32"/>
          <w:szCs w:val="32"/>
          <w:lang w:eastAsia="zh-CN" w:bidi="en-US"/>
        </w:rPr>
        <w:t>会展中心</w:t>
      </w:r>
      <w:r>
        <w:rPr>
          <w:rFonts w:hint="eastAsia" w:ascii="Calibri" w:hAnsi="Calibri" w:eastAsia="仿宋_GB2312" w:cs="Times New Roman"/>
          <w:color w:val="auto"/>
          <w:spacing w:val="6"/>
          <w:kern w:val="0"/>
          <w:sz w:val="32"/>
          <w:szCs w:val="32"/>
          <w:lang w:eastAsia="zh-CN" w:bidi="en-US"/>
        </w:rPr>
        <w:t>、杭州国际博览中心二期工程，增强杭州大会展中心、杭州国际博览中心的驱动力，新</w:t>
      </w:r>
      <w:r>
        <w:rPr>
          <w:rFonts w:ascii="Calibri" w:hAnsi="Calibri" w:eastAsia="仿宋_GB2312" w:cs="Times New Roman"/>
          <w:color w:val="auto"/>
          <w:spacing w:val="6"/>
          <w:kern w:val="0"/>
          <w:sz w:val="32"/>
          <w:szCs w:val="32"/>
          <w:lang w:eastAsia="zh-CN" w:bidi="en-US"/>
        </w:rPr>
        <w:t>建、提升一批会展场馆</w:t>
      </w:r>
      <w:r>
        <w:rPr>
          <w:rFonts w:hint="eastAsia" w:ascii="Calibri" w:hAnsi="Calibri" w:eastAsia="仿宋_GB2312" w:cs="Times New Roman"/>
          <w:color w:val="auto"/>
          <w:spacing w:val="6"/>
          <w:kern w:val="0"/>
          <w:sz w:val="32"/>
          <w:szCs w:val="32"/>
          <w:lang w:eastAsia="zh-CN" w:bidi="en-US"/>
        </w:rPr>
        <w:t>和</w:t>
      </w:r>
      <w:r>
        <w:rPr>
          <w:rFonts w:ascii="Calibri" w:hAnsi="Calibri" w:eastAsia="仿宋_GB2312" w:cs="Times New Roman"/>
          <w:color w:val="auto"/>
          <w:spacing w:val="6"/>
          <w:kern w:val="0"/>
          <w:sz w:val="32"/>
          <w:szCs w:val="32"/>
          <w:lang w:eastAsia="zh-CN" w:bidi="en-US"/>
        </w:rPr>
        <w:t>园区，推动区</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县（市）会展业协同发展</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实现多极联动</w:t>
      </w:r>
      <w:r>
        <w:rPr>
          <w:rFonts w:hint="eastAsia" w:ascii="Calibri" w:hAnsi="Calibri" w:eastAsia="仿宋_GB2312" w:cs="Times New Roman"/>
          <w:color w:val="auto"/>
          <w:spacing w:val="6"/>
          <w:kern w:val="0"/>
          <w:sz w:val="32"/>
          <w:szCs w:val="32"/>
          <w:lang w:eastAsia="zh-CN" w:bidi="en-US"/>
        </w:rPr>
        <w:t>。</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数字化程度进一步提高。</w:t>
      </w:r>
      <w:r>
        <w:rPr>
          <w:rFonts w:hint="eastAsia" w:ascii="仿宋_GB2312" w:hAnsi="Calibri" w:eastAsia="仿宋_GB2312" w:cs="Times New Roman"/>
          <w:color w:val="auto"/>
          <w:spacing w:val="6"/>
          <w:kern w:val="0"/>
          <w:sz w:val="32"/>
          <w:szCs w:val="32"/>
          <w:lang w:eastAsia="zh-CN" w:bidi="en-US"/>
        </w:rPr>
        <w:t>依托杭州城市大脑建设会展综合应用场景，提升线上办展比重，运用虚拟现实、增强现实、人工智能等技术，实现办展数字化、智能化，举办全球数字贸易博览会，</w:t>
      </w:r>
      <w:r>
        <w:rPr>
          <w:rFonts w:ascii="仿宋_GB2312" w:hAnsi="Calibri" w:eastAsia="仿宋_GB2312" w:cs="Times New Roman"/>
          <w:color w:val="auto"/>
          <w:spacing w:val="6"/>
          <w:kern w:val="0"/>
          <w:sz w:val="32"/>
          <w:szCs w:val="32"/>
          <w:lang w:eastAsia="zh-CN" w:bidi="en-US"/>
        </w:rPr>
        <w:t>实现场馆服务设施的</w:t>
      </w:r>
      <w:r>
        <w:rPr>
          <w:rFonts w:hint="eastAsia" w:ascii="仿宋_GB2312" w:hAnsi="Calibri" w:eastAsia="仿宋_GB2312" w:cs="Times New Roman"/>
          <w:color w:val="auto"/>
          <w:spacing w:val="6"/>
          <w:kern w:val="0"/>
          <w:sz w:val="32"/>
          <w:szCs w:val="32"/>
          <w:lang w:eastAsia="zh-CN" w:bidi="en-US"/>
        </w:rPr>
        <w:t>智慧</w:t>
      </w:r>
      <w:r>
        <w:rPr>
          <w:rFonts w:ascii="仿宋_GB2312" w:hAnsi="Calibri" w:eastAsia="仿宋_GB2312" w:cs="Times New Roman"/>
          <w:color w:val="auto"/>
          <w:spacing w:val="6"/>
          <w:kern w:val="0"/>
          <w:sz w:val="32"/>
          <w:szCs w:val="32"/>
          <w:lang w:eastAsia="zh-CN" w:bidi="en-US"/>
        </w:rPr>
        <w:t>化</w:t>
      </w:r>
      <w:r>
        <w:rPr>
          <w:rFonts w:hint="eastAsia" w:ascii="仿宋_GB2312" w:hAnsi="Calibri" w:eastAsia="仿宋_GB2312" w:cs="Times New Roman"/>
          <w:color w:val="auto"/>
          <w:spacing w:val="6"/>
          <w:kern w:val="0"/>
          <w:sz w:val="32"/>
          <w:szCs w:val="32"/>
          <w:lang w:eastAsia="zh-CN" w:bidi="en-US"/>
        </w:rPr>
        <w:t>，将杭州打造成为数智会展示范城市。</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人才培养体系进一步完善。</w:t>
      </w:r>
      <w:r>
        <w:rPr>
          <w:rFonts w:hint="eastAsia" w:ascii="仿宋_GB2312" w:hAnsi="Calibri" w:eastAsia="仿宋_GB2312" w:cs="Times New Roman"/>
          <w:color w:val="auto"/>
          <w:spacing w:val="6"/>
          <w:kern w:val="0"/>
          <w:sz w:val="32"/>
          <w:szCs w:val="32"/>
          <w:lang w:eastAsia="zh-CN" w:bidi="en-US"/>
        </w:rPr>
        <w:t>将会展人才纳入杭州高端人才引进和培养计划体系，加强在杭高校会展专业建设，扩大招生数量，特别是本科会展专业学生数量，努力创建会展产教融合示范基地，建设最具影响力的中国会展人才培养基地。</w:t>
      </w:r>
    </w:p>
    <w:p>
      <w:pPr>
        <w:keepNext w:val="0"/>
        <w:keepLines w:val="0"/>
        <w:pageBreakBefore w:val="0"/>
        <w:kinsoku/>
        <w:wordWrap/>
        <w:overflowPunct/>
        <w:topLinePunct w:val="0"/>
        <w:bidi w:val="0"/>
        <w:adjustRightInd/>
        <w:snapToGrid w:val="0"/>
        <w:spacing w:line="560" w:lineRule="exact"/>
        <w:ind w:firstLine="664" w:firstLineChars="200"/>
        <w:contextualSpacing/>
        <w:textAlignment w:val="auto"/>
        <w:outlineLvl w:val="0"/>
        <w:rPr>
          <w:rFonts w:ascii="黑体" w:hAnsi="黑体" w:eastAsia="黑体" w:cs="Times New Roman"/>
          <w:b w:val="0"/>
          <w:bCs/>
          <w:color w:val="auto"/>
          <w:spacing w:val="6"/>
          <w:sz w:val="32"/>
          <w:szCs w:val="32"/>
          <w:lang w:val="en-US" w:eastAsia="zh-CN" w:bidi="en-US"/>
        </w:rPr>
      </w:pPr>
      <w:bookmarkStart w:id="8" w:name="_Toc1918729816"/>
      <w:r>
        <w:rPr>
          <w:rFonts w:hint="eastAsia" w:ascii="黑体" w:hAnsi="黑体" w:eastAsia="黑体" w:cs="Times New Roman"/>
          <w:b w:val="0"/>
          <w:bCs/>
          <w:color w:val="auto"/>
          <w:spacing w:val="6"/>
          <w:sz w:val="32"/>
          <w:szCs w:val="32"/>
          <w:lang w:val="en-US" w:eastAsia="zh-CN" w:bidi="en-US"/>
        </w:rPr>
        <w:t>三</w:t>
      </w:r>
      <w:r>
        <w:rPr>
          <w:rFonts w:ascii="黑体" w:hAnsi="黑体" w:eastAsia="黑体" w:cs="Times New Roman"/>
          <w:b w:val="0"/>
          <w:bCs/>
          <w:color w:val="auto"/>
          <w:spacing w:val="6"/>
          <w:sz w:val="32"/>
          <w:szCs w:val="32"/>
          <w:lang w:val="en-US" w:eastAsia="zh-CN" w:bidi="en-US"/>
        </w:rPr>
        <w:t>、主要任务</w:t>
      </w:r>
      <w:bookmarkEnd w:id="8"/>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hint="eastAsia" w:ascii="楷体_GB2312" w:hAnsi="Calibri" w:eastAsia="楷体_GB2312" w:cs="Times New Roman"/>
          <w:color w:val="auto"/>
          <w:kern w:val="0"/>
          <w:sz w:val="32"/>
          <w:szCs w:val="32"/>
          <w:u w:val="none"/>
          <w:lang w:eastAsia="zh-CN" w:bidi="en-US"/>
        </w:rPr>
      </w:pPr>
      <w:bookmarkStart w:id="9" w:name="_Toc1742467799"/>
      <w:r>
        <w:rPr>
          <w:rFonts w:hint="eastAsia" w:ascii="楷体_GB2312" w:hAnsi="Calibri" w:eastAsia="楷体_GB2312" w:cs="Times New Roman"/>
          <w:color w:val="auto"/>
          <w:kern w:val="0"/>
          <w:sz w:val="32"/>
          <w:szCs w:val="32"/>
          <w:u w:val="none"/>
          <w:lang w:eastAsia="zh-CN" w:bidi="en-US"/>
        </w:rPr>
        <w:t>（一）推动会展与产业协同发展</w:t>
      </w:r>
      <w:bookmarkEnd w:id="9"/>
    </w:p>
    <w:p>
      <w:pPr>
        <w:keepNext w:val="0"/>
        <w:keepLines w:val="0"/>
        <w:pageBreakBefore w:val="0"/>
        <w:kinsoku/>
        <w:wordWrap/>
        <w:overflowPunct/>
        <w:topLinePunct w:val="0"/>
        <w:bidi w:val="0"/>
        <w:adjustRightInd/>
        <w:snapToGrid w:val="0"/>
        <w:spacing w:line="560" w:lineRule="exact"/>
        <w:ind w:firstLine="664" w:firstLineChars="200"/>
        <w:contextualSpacing/>
        <w:jc w:val="left"/>
        <w:textAlignment w:val="auto"/>
        <w:rPr>
          <w:rFonts w:ascii="Calibri" w:hAnsi="Calibri" w:eastAsia="仿宋_GB2312" w:cs="Times New Roman"/>
          <w:color w:val="auto"/>
          <w:spacing w:val="6"/>
          <w:kern w:val="0"/>
          <w:sz w:val="32"/>
          <w:szCs w:val="32"/>
          <w:lang w:eastAsia="zh-CN" w:bidi="en-US"/>
        </w:rPr>
      </w:pPr>
      <w:r>
        <w:rPr>
          <w:rFonts w:hint="eastAsia" w:ascii="Calibri" w:hAnsi="Calibri" w:eastAsia="仿宋_GB2312" w:cs="Times New Roman"/>
          <w:color w:val="auto"/>
          <w:spacing w:val="6"/>
          <w:kern w:val="0"/>
          <w:sz w:val="32"/>
          <w:szCs w:val="32"/>
          <w:lang w:eastAsia="zh-CN" w:bidi="en-US"/>
        </w:rPr>
        <w:t>充分发挥杭州在数字经济、新消费、新金融等领域的产业优势，以</w:t>
      </w:r>
      <w:r>
        <w:rPr>
          <w:rFonts w:ascii="Calibri" w:hAnsi="Calibri" w:eastAsia="仿宋_GB2312" w:cs="Times New Roman"/>
          <w:color w:val="auto"/>
          <w:spacing w:val="6"/>
          <w:kern w:val="0"/>
          <w:sz w:val="32"/>
          <w:szCs w:val="32"/>
          <w:lang w:eastAsia="zh-CN" w:bidi="en-US"/>
        </w:rPr>
        <w:t>会展</w:t>
      </w:r>
      <w:r>
        <w:rPr>
          <w:rFonts w:hint="eastAsia" w:ascii="Calibri" w:hAnsi="Calibri" w:eastAsia="仿宋_GB2312" w:cs="Times New Roman"/>
          <w:color w:val="auto"/>
          <w:spacing w:val="6"/>
          <w:kern w:val="0"/>
          <w:sz w:val="32"/>
          <w:szCs w:val="32"/>
          <w:lang w:eastAsia="zh-CN" w:bidi="en-US"/>
        </w:rPr>
        <w:t>业</w:t>
      </w:r>
      <w:r>
        <w:rPr>
          <w:rFonts w:ascii="Calibri" w:hAnsi="Calibri" w:eastAsia="仿宋_GB2312" w:cs="Times New Roman"/>
          <w:color w:val="auto"/>
          <w:spacing w:val="6"/>
          <w:kern w:val="0"/>
          <w:sz w:val="32"/>
          <w:szCs w:val="32"/>
          <w:lang w:eastAsia="zh-CN" w:bidi="en-US"/>
        </w:rPr>
        <w:t>与</w:t>
      </w:r>
      <w:r>
        <w:rPr>
          <w:rFonts w:hint="eastAsia" w:ascii="Calibri" w:hAnsi="Calibri" w:eastAsia="仿宋_GB2312" w:cs="Times New Roman"/>
          <w:color w:val="auto"/>
          <w:spacing w:val="6"/>
          <w:kern w:val="0"/>
          <w:sz w:val="32"/>
          <w:szCs w:val="32"/>
          <w:lang w:eastAsia="zh-CN" w:bidi="en-US"/>
        </w:rPr>
        <w:t>重点</w:t>
      </w:r>
      <w:r>
        <w:rPr>
          <w:rFonts w:ascii="Calibri" w:hAnsi="Calibri" w:eastAsia="仿宋_GB2312" w:cs="Times New Roman"/>
          <w:color w:val="auto"/>
          <w:spacing w:val="6"/>
          <w:kern w:val="0"/>
          <w:sz w:val="32"/>
          <w:szCs w:val="32"/>
          <w:lang w:eastAsia="zh-CN" w:bidi="en-US"/>
        </w:rPr>
        <w:t>产业协同发展</w:t>
      </w:r>
      <w:r>
        <w:rPr>
          <w:rFonts w:hint="eastAsia" w:ascii="Calibri" w:hAnsi="Calibri" w:eastAsia="仿宋_GB2312" w:cs="Times New Roman"/>
          <w:color w:val="auto"/>
          <w:spacing w:val="6"/>
          <w:kern w:val="0"/>
          <w:sz w:val="32"/>
          <w:szCs w:val="32"/>
          <w:lang w:eastAsia="zh-CN" w:bidi="en-US"/>
        </w:rPr>
        <w:t>为</w:t>
      </w:r>
      <w:r>
        <w:rPr>
          <w:rFonts w:ascii="Calibri" w:hAnsi="Calibri" w:eastAsia="仿宋_GB2312" w:cs="Times New Roman"/>
          <w:color w:val="auto"/>
          <w:spacing w:val="6"/>
          <w:kern w:val="0"/>
          <w:sz w:val="32"/>
          <w:szCs w:val="32"/>
          <w:lang w:eastAsia="zh-CN" w:bidi="en-US"/>
        </w:rPr>
        <w:t>主线，</w:t>
      </w:r>
      <w:r>
        <w:rPr>
          <w:rFonts w:hint="eastAsia" w:ascii="Calibri" w:hAnsi="Calibri" w:eastAsia="仿宋_GB2312" w:cs="Times New Roman"/>
          <w:color w:val="auto"/>
          <w:spacing w:val="6"/>
          <w:kern w:val="0"/>
          <w:sz w:val="32"/>
          <w:szCs w:val="32"/>
          <w:lang w:eastAsia="zh-CN" w:bidi="en-US"/>
        </w:rPr>
        <w:t>促进数字经济和制造业高质量融合发展，</w:t>
      </w:r>
      <w:r>
        <w:rPr>
          <w:rFonts w:ascii="Calibri" w:hAnsi="Calibri" w:eastAsia="仿宋_GB2312" w:cs="Times New Roman"/>
          <w:color w:val="auto"/>
          <w:spacing w:val="6"/>
          <w:kern w:val="0"/>
          <w:sz w:val="32"/>
          <w:szCs w:val="32"/>
          <w:lang w:eastAsia="zh-CN" w:bidi="en-US"/>
        </w:rPr>
        <w:t>以城市产业激发会展新动能，以会展赋能产业高质量发展。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1.积极推进会展业与数字经济产业协同发展</w:t>
      </w:r>
    </w:p>
    <w:p>
      <w:pPr>
        <w:keepNext w:val="0"/>
        <w:keepLines w:val="0"/>
        <w:pageBreakBefore w:val="0"/>
        <w:kinsoku/>
        <w:wordWrap/>
        <w:overflowPunct/>
        <w:topLinePunct w:val="0"/>
        <w:bidi w:val="0"/>
        <w:adjustRightInd/>
        <w:snapToGrid w:val="0"/>
        <w:spacing w:line="560" w:lineRule="exact"/>
        <w:ind w:firstLine="664"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color w:val="auto"/>
          <w:spacing w:val="6"/>
          <w:kern w:val="0"/>
          <w:sz w:val="32"/>
          <w:szCs w:val="32"/>
          <w:lang w:eastAsia="zh-CN" w:bidi="en-US"/>
        </w:rPr>
        <w:t>深入实施数字经济“一号工程”2.0版，紧盯数字经济产业发展新高地，响应产业布局和结构变化，</w:t>
      </w:r>
      <w:r>
        <w:rPr>
          <w:rFonts w:hint="eastAsia" w:ascii="仿宋_GB2312" w:hAnsi="Calibri" w:eastAsia="仿宋_GB2312" w:cs="Times New Roman"/>
          <w:color w:val="auto"/>
          <w:spacing w:val="0"/>
          <w:kern w:val="0"/>
          <w:sz w:val="32"/>
          <w:szCs w:val="32"/>
          <w:lang w:eastAsia="zh-CN" w:bidi="en-US"/>
        </w:rPr>
        <w:t>打造具有领先优势和鲜明特色的数字经济领域产业展会矩阵</w:t>
      </w:r>
      <w:r>
        <w:rPr>
          <w:rFonts w:hint="eastAsia" w:ascii="仿宋_GB2312" w:hAnsi="Calibri" w:eastAsia="仿宋_GB2312" w:cs="Times New Roman"/>
          <w:color w:val="auto"/>
          <w:spacing w:val="6"/>
          <w:kern w:val="0"/>
          <w:sz w:val="32"/>
          <w:szCs w:val="32"/>
          <w:lang w:eastAsia="zh-CN" w:bidi="en-US"/>
        </w:rPr>
        <w:t>。</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实现会展业在服务数字经济核心产业、优势集群和领军企业的“三大突破”。</w:t>
      </w:r>
      <w:r>
        <w:rPr>
          <w:rFonts w:hint="eastAsia" w:ascii="仿宋_GB2312" w:hAnsi="Calibri" w:eastAsia="仿宋_GB2312" w:cs="Times New Roman"/>
          <w:color w:val="auto"/>
          <w:spacing w:val="6"/>
          <w:kern w:val="0"/>
          <w:sz w:val="32"/>
          <w:szCs w:val="32"/>
          <w:lang w:eastAsia="zh-CN" w:bidi="en-US"/>
        </w:rPr>
        <w:t>在电子商务、人工智能、云计算、大数据、物联网、区块链、5G等具有国际竞争力的数字产业集群领域，打造由综合性博览会和多个特色产业展构成的“1+X”数字经济会展体系。把握新一代信息技术推动的新要素、新动能、新集群变革，以信息技术服务、数字贸易、数字金融等产业集群和特色小镇互联网创业者集聚地为重点，发挥会展对杭州优势产业集聚的优先培育、产业补链、生态建设作用。深化会展业与创新大平台和数字经济领军企业的互动，发挥浙江大学、西湖大学、之江实验室、阿里达摩院和阿里巴巴、网易、海康威视、大华股份、新华三等作为会展组织方和参展商的示范引领作用。</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以龙头会展打造、特色会展协同为抓手构筑具有广泛影响力的数字经济会展新高地。</w:t>
      </w:r>
      <w:r>
        <w:rPr>
          <w:rFonts w:hint="eastAsia" w:ascii="仿宋_GB2312" w:hAnsi="Calibri" w:eastAsia="仿宋_GB2312" w:cs="Times New Roman"/>
          <w:color w:val="auto"/>
          <w:kern w:val="0"/>
          <w:sz w:val="32"/>
          <w:szCs w:val="32"/>
          <w:lang w:eastAsia="zh-CN" w:bidi="en-US"/>
        </w:rPr>
        <w:t>培育数字经济龙头会展项目全球数字贸易博览会，支持国际电子商务博览会、云栖大会、2050大会、智涌钱塘大会、软件博览会、数字安防生态大会等优势、特色展会做优做强，鼓励举办软件设计、集成电路、数字安防、通信网络设备等产业领域会展项目，鼓励举办数字技术在城市治理、文化旅游、传统产业、美丽乡村建设等领域融合应用的会展项目，</w:t>
      </w:r>
      <w:bookmarkStart w:id="10" w:name="_Hlk51090695"/>
      <w:r>
        <w:rPr>
          <w:rFonts w:hint="eastAsia" w:ascii="仿宋_GB2312" w:hAnsi="Calibri" w:eastAsia="仿宋_GB2312" w:cs="Times New Roman"/>
          <w:color w:val="auto"/>
          <w:kern w:val="0"/>
          <w:sz w:val="32"/>
          <w:szCs w:val="32"/>
          <w:lang w:eastAsia="zh-CN" w:bidi="en-US"/>
        </w:rPr>
        <w:t>助推杭州国际级软件名城、国际电子商务中心、全国数字产业化发展引领区、全国大数据和云计算中心、国家新一代人工智能创新发展试验区等十大数字经济“国字号”品牌建设。</w:t>
      </w:r>
      <w:bookmarkEnd w:id="10"/>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2.积极推进会展业与新制造业融通发展</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贯彻实施“新制造业计划”，发挥会展业在培育引进战略性新兴产业、改造提升传统制造业和保护传承经典产业方面的平台作用，快速集聚制造业优质要素，提升杭州制造业影响力。</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实现会展业与新制造业高质量联动发展的“三大提升”。</w:t>
      </w:r>
      <w:r>
        <w:rPr>
          <w:rFonts w:hint="eastAsia" w:ascii="仿宋_GB2312" w:hAnsi="Calibri" w:eastAsia="仿宋_GB2312" w:cs="Times New Roman"/>
          <w:color w:val="auto"/>
          <w:kern w:val="0"/>
          <w:sz w:val="32"/>
          <w:szCs w:val="32"/>
          <w:lang w:eastAsia="zh-CN" w:bidi="en-US"/>
        </w:rPr>
        <w:t>引进、策划、培育一批新制造业品牌展会项目，通过会展赋能，提升杭州生物医药、集成电路、新能源、新材料、高端装备等重点产业和航空航天、生命健康等前沿领域的市场份额和品牌影响，提升杭州会展在纺织化纤、精细化工、电气机械、食品饮料等传统制造业转型升级、提质增效中的产业服务功能，提升杭州会展在保护传承丝绸、茶叶、工艺美术、中药等特色产业,推进时尚产业发展,</w:t>
      </w:r>
      <w:r>
        <w:rPr>
          <w:rFonts w:hint="eastAsia" w:ascii="仿宋_GB2312" w:hAnsi="Calibri" w:eastAsia="仿宋_GB2312" w:cs="Times New Roman"/>
          <w:color w:val="auto"/>
          <w:kern w:val="0"/>
          <w:sz w:val="32"/>
          <w:szCs w:val="32"/>
          <w:u w:val="none"/>
          <w:lang w:eastAsia="zh-CN" w:bidi="en-US"/>
        </w:rPr>
        <w:t>扩大</w:t>
      </w:r>
      <w:r>
        <w:rPr>
          <w:rFonts w:hint="eastAsia" w:ascii="仿宋_GB2312" w:hAnsi="Calibri" w:eastAsia="仿宋_GB2312" w:cs="Times New Roman"/>
          <w:color w:val="auto"/>
          <w:kern w:val="0"/>
          <w:sz w:val="32"/>
          <w:szCs w:val="32"/>
          <w:lang w:eastAsia="zh-CN" w:bidi="en-US"/>
        </w:rPr>
        <w:t>“杭州制造”“杭州创造”品牌中的传播价值。</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鼓励新制造业企业参加各类展会。</w:t>
      </w:r>
      <w:r>
        <w:rPr>
          <w:rFonts w:hint="eastAsia" w:ascii="仿宋_GB2312" w:hAnsi="Calibri" w:eastAsia="仿宋_GB2312" w:cs="Times New Roman"/>
          <w:color w:val="auto"/>
          <w:kern w:val="0"/>
          <w:sz w:val="32"/>
          <w:szCs w:val="32"/>
          <w:lang w:eastAsia="zh-CN" w:bidi="en-US"/>
        </w:rPr>
        <w:t>深耕“一带一路”沿线和重点国家及地区的经贸合作，筛选一批专业性强、影响力大、参展效果好的国际品牌展会，政府牵头组织企业组团参展参会，推动企业积极参与国际行业之间的交流。联合政府相关主管部门、行业协会及骨干企业实施新制造业推广计划，帮助企业开展企业宣传和品牌推广，通过展会宣传杭州新制造业品牌，服务产业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3.积极推进会展业与新服务新消费互促发展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发挥会展业在推动生产性服务业向专业化和价值链高端延伸中的引领作用。</w:t>
      </w:r>
      <w:r>
        <w:rPr>
          <w:rFonts w:hint="eastAsia" w:ascii="仿宋_GB2312" w:hAnsi="Calibri" w:eastAsia="仿宋_GB2312" w:cs="Times New Roman"/>
          <w:color w:val="auto"/>
          <w:kern w:val="0"/>
          <w:sz w:val="32"/>
          <w:szCs w:val="32"/>
          <w:lang w:eastAsia="zh-CN" w:bidi="en-US"/>
        </w:rPr>
        <w:t>在软件与信息服务、创意设计、电子商务、科技服务、金融科技、商务服务等重点领域打造具有广泛影响力的会展品牌，在数字贸易服务、现代物流、检验检测认证服务、节能环保服务、人力资源服务等潜力领域培育富有竞争力的会展项目，形成与现代化产业体系相适应、结构优化、特色鲜明的会展支持体系和反哺互促机制，推动“杭州服务”与“杭州制造”共同构建对外贸易新优势，培育生产性服务业“新技术、新业态、新模式、新产业”，打通创新链、产品链、价值链。</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响应人民群众对美好生活的向往和期待，积极发展新消费会展项目。</w:t>
      </w:r>
      <w:r>
        <w:rPr>
          <w:rFonts w:hint="eastAsia" w:ascii="仿宋_GB2312" w:hAnsi="Calibri" w:eastAsia="仿宋_GB2312" w:cs="Times New Roman"/>
          <w:color w:val="auto"/>
          <w:kern w:val="0"/>
          <w:sz w:val="32"/>
          <w:szCs w:val="32"/>
          <w:lang w:eastAsia="zh-CN" w:bidi="en-US"/>
        </w:rPr>
        <w:t>在餐饮、教育、娱乐、出行、家政、洗涤、鲜花、美业等细分领域举办一批富有杭州特色的消费类展会，发挥会展平台作为共同富裕展示窗口的作用，打造国内新消费体验的会展高地</w:t>
      </w:r>
      <w:bookmarkStart w:id="11" w:name="_Hlk51152173"/>
      <w:r>
        <w:rPr>
          <w:rFonts w:hint="eastAsia" w:ascii="仿宋_GB2312" w:hAnsi="Calibri" w:eastAsia="仿宋_GB2312" w:cs="Times New Roman"/>
          <w:color w:val="auto"/>
          <w:kern w:val="0"/>
          <w:sz w:val="32"/>
          <w:szCs w:val="32"/>
          <w:lang w:eastAsia="zh-CN" w:bidi="en-US"/>
        </w:rPr>
        <w:t>。</w:t>
      </w:r>
      <w:bookmarkEnd w:id="11"/>
      <w:r>
        <w:rPr>
          <w:rFonts w:hint="eastAsia" w:ascii="仿宋_GB2312" w:hAnsi="Calibri" w:eastAsia="仿宋_GB2312" w:cs="Times New Roman"/>
          <w:color w:val="auto"/>
          <w:kern w:val="0"/>
          <w:sz w:val="32"/>
          <w:szCs w:val="32"/>
          <w:lang w:eastAsia="zh-CN" w:bidi="en-US"/>
        </w:rPr>
        <w:t>面对“新场景”“新人群”“新体验”，在内容服务、精准营销、数据决策、金融服务等领域推出专业会展，</w:t>
      </w:r>
      <w:r>
        <w:rPr>
          <w:rFonts w:hint="eastAsia" w:ascii="仿宋_GB2312" w:eastAsia="仿宋_GB2312" w:cs="仿宋"/>
          <w:color w:val="000000"/>
          <w:sz w:val="32"/>
          <w:szCs w:val="32"/>
        </w:rPr>
        <w:t>充分展示新科技、新产业、新模式推动的新零售、新消费，大力推广综合体专题会展、品牌集合展会、电商品牌线上展会，以及相关协会资源整合促消费活动，增强杭州会展在新消费领域科技展示、要素聚合、公众引导、市场测试的全场景服务能力，助力构建双循环新格局。</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4.积极推进会展业与体育文化产业共同发展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以举办2022年亚运会为契机，</w:t>
      </w:r>
      <w:r>
        <w:rPr>
          <w:rFonts w:hint="eastAsia" w:ascii="仿宋_GB2312" w:hAnsi="Calibri" w:eastAsia="仿宋_GB2312" w:cs="Times New Roman"/>
          <w:b/>
          <w:color w:val="auto"/>
          <w:kern w:val="0"/>
          <w:sz w:val="32"/>
          <w:szCs w:val="32"/>
          <w:lang w:eastAsia="zh-CN" w:bidi="en-US"/>
        </w:rPr>
        <w:t>推进会展业与体育赛事融合发展</w:t>
      </w:r>
      <w:r>
        <w:rPr>
          <w:rFonts w:hint="eastAsia" w:ascii="仿宋_GB2312" w:hAnsi="Calibri" w:eastAsia="仿宋_GB2312" w:cs="Times New Roman"/>
          <w:b/>
          <w:bCs/>
          <w:color w:val="auto"/>
          <w:kern w:val="0"/>
          <w:sz w:val="32"/>
          <w:szCs w:val="32"/>
          <w:lang w:eastAsia="zh-CN" w:bidi="en-US"/>
        </w:rPr>
        <w:t>。</w:t>
      </w:r>
      <w:r>
        <w:rPr>
          <w:rFonts w:hint="eastAsia" w:ascii="仿宋_GB2312" w:hAnsi="Calibri" w:eastAsia="仿宋_GB2312" w:cs="Times New Roman"/>
          <w:color w:val="auto"/>
          <w:kern w:val="0"/>
          <w:sz w:val="32"/>
          <w:szCs w:val="32"/>
          <w:lang w:eastAsia="zh-CN" w:bidi="en-US"/>
        </w:rPr>
        <w:t>通过举办2022亚运会进一步拓展城市发展空间，传播城市品牌形象，再次讲好中国故事、展示大国形象，为杭州会展业发展积淀更多底蕴。</w:t>
      </w:r>
      <w:r>
        <w:rPr>
          <w:rFonts w:hint="eastAsia" w:ascii="仿宋_GB2312" w:hAnsi="Calibri" w:eastAsia="仿宋_GB2312" w:cs="Times New Roman"/>
          <w:color w:val="auto"/>
          <w:spacing w:val="6"/>
          <w:kern w:val="0"/>
          <w:sz w:val="32"/>
          <w:szCs w:val="32"/>
          <w:lang w:eastAsia="zh-CN" w:bidi="en-US"/>
        </w:rPr>
        <w:t>充分利用亚运会场馆，</w:t>
      </w:r>
      <w:r>
        <w:rPr>
          <w:rFonts w:hint="eastAsia" w:ascii="仿宋_GB2312" w:hAnsi="Calibri" w:eastAsia="仿宋_GB2312" w:cs="Times New Roman"/>
          <w:color w:val="auto"/>
          <w:kern w:val="0"/>
          <w:sz w:val="32"/>
          <w:szCs w:val="32"/>
          <w:lang w:eastAsia="zh-CN" w:bidi="en-US"/>
        </w:rPr>
        <w:t>积极承办更多高规格国际体育赛事，申办5项以上洲际单项体育赛事，培育10项本土国际品牌赛事，支持杭州马拉松赛等品牌赛事举办，在电子竞技、水上项目等重点领域打造具有一定影响力的全国性赛事，举办各类赛事50项以上，形成市场化、多元化、专业化办赛模式。发挥国际（杭州）毅行大会、淳安千岛湖骑游大会、富春江运动节等品牌示范活动的价值，打造全民运动的“杭州样板”。</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bCs/>
          <w:color w:val="auto"/>
          <w:kern w:val="0"/>
          <w:sz w:val="32"/>
          <w:szCs w:val="32"/>
          <w:lang w:eastAsia="zh-CN" w:bidi="en-US"/>
        </w:rPr>
        <w:t>打造具有鲜明地方特色的文化活动之都。</w:t>
      </w:r>
      <w:r>
        <w:rPr>
          <w:rFonts w:hint="eastAsia" w:ascii="仿宋_GB2312" w:hAnsi="Calibri" w:eastAsia="仿宋_GB2312" w:cs="Times New Roman"/>
          <w:color w:val="auto"/>
          <w:kern w:val="0"/>
          <w:sz w:val="32"/>
          <w:szCs w:val="32"/>
          <w:lang w:eastAsia="zh-CN" w:bidi="en-US"/>
        </w:rPr>
        <w:t>发挥杭州文化节庆演绎城市独特的生活文化气息作用，在南宋文化、西湖文化、运河文化、良渚文化、钱塘江文化、湘湖文化的传承上，在丝绸、茶叶、印学和南宋官窑等地方传统文化艺术资源开发利用上，发挥重要作用。支持打造以玫瑰婚典、毅行大会、大运河庙会、萧山旅游节（观潮节）、千岛湖秀水节等为代表的品牌节庆活动，培育一批在国际国内享有较高声誉的文化活动品牌。开展杭州国际日、杭州西湖日、杭州良渚日等活动，鼓励都市圈各地打造富有地域特色、产业优势和群众基础的文化活动，加强区、县（市）联动，实现资源共享品牌共塑。编制杭州文化节庆活动消费指南，推动会奖旅游发展。</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ascii="楷体_GB2312" w:hAnsi="Calibri" w:eastAsia="楷体_GB2312" w:cs="Times New Roman"/>
          <w:color w:val="auto"/>
          <w:kern w:val="0"/>
          <w:sz w:val="32"/>
          <w:szCs w:val="32"/>
          <w:lang w:eastAsia="zh-CN" w:bidi="en-US"/>
        </w:rPr>
      </w:pPr>
      <w:bookmarkStart w:id="12" w:name="_Toc2059664353"/>
      <w:r>
        <w:rPr>
          <w:rFonts w:ascii="楷体_GB2312" w:hAnsi="Calibri" w:eastAsia="楷体_GB2312" w:cs="Times New Roman"/>
          <w:color w:val="auto"/>
          <w:kern w:val="0"/>
          <w:sz w:val="32"/>
          <w:szCs w:val="32"/>
          <w:lang w:eastAsia="zh-CN" w:bidi="en-US"/>
        </w:rPr>
        <w:t>（二）</w:t>
      </w:r>
      <w:r>
        <w:rPr>
          <w:rFonts w:hint="eastAsia" w:ascii="楷体_GB2312" w:hAnsi="Calibri" w:eastAsia="楷体_GB2312" w:cs="Times New Roman"/>
          <w:color w:val="auto"/>
          <w:kern w:val="0"/>
          <w:sz w:val="32"/>
          <w:szCs w:val="32"/>
          <w:lang w:eastAsia="zh-CN" w:bidi="en-US"/>
        </w:rPr>
        <w:t>深入</w:t>
      </w:r>
      <w:r>
        <w:rPr>
          <w:rFonts w:ascii="楷体_GB2312" w:hAnsi="Calibri" w:eastAsia="楷体_GB2312" w:cs="Times New Roman"/>
          <w:color w:val="auto"/>
          <w:kern w:val="0"/>
          <w:sz w:val="32"/>
          <w:szCs w:val="32"/>
          <w:lang w:eastAsia="zh-CN" w:bidi="en-US"/>
        </w:rPr>
        <w:t>打造国际</w:t>
      </w:r>
      <w:r>
        <w:rPr>
          <w:rFonts w:hint="eastAsia" w:ascii="楷体_GB2312" w:hAnsi="Calibri" w:eastAsia="楷体_GB2312" w:cs="Times New Roman"/>
          <w:color w:val="auto"/>
          <w:kern w:val="0"/>
          <w:sz w:val="32"/>
          <w:szCs w:val="32"/>
          <w:lang w:eastAsia="zh-CN" w:bidi="en-US"/>
        </w:rPr>
        <w:t>化</w:t>
      </w:r>
      <w:r>
        <w:rPr>
          <w:rFonts w:ascii="楷体_GB2312" w:hAnsi="Calibri" w:eastAsia="楷体_GB2312" w:cs="Times New Roman"/>
          <w:color w:val="auto"/>
          <w:kern w:val="0"/>
          <w:sz w:val="32"/>
          <w:szCs w:val="32"/>
          <w:lang w:eastAsia="zh-CN" w:bidi="en-US"/>
        </w:rPr>
        <w:t>品牌</w:t>
      </w:r>
      <w:bookmarkEnd w:id="12"/>
    </w:p>
    <w:p>
      <w:pPr>
        <w:keepNext w:val="0"/>
        <w:keepLines w:val="0"/>
        <w:pageBreakBefore w:val="0"/>
        <w:kinsoku/>
        <w:wordWrap/>
        <w:overflowPunct/>
        <w:topLinePunct w:val="0"/>
        <w:bidi w:val="0"/>
        <w:adjustRightInd/>
        <w:snapToGrid w:val="0"/>
        <w:spacing w:line="560" w:lineRule="exact"/>
        <w:ind w:firstLine="664" w:firstLineChars="200"/>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color w:val="auto"/>
          <w:spacing w:val="6"/>
          <w:kern w:val="0"/>
          <w:sz w:val="32"/>
          <w:szCs w:val="32"/>
          <w:lang w:eastAsia="zh-CN" w:bidi="en-US"/>
        </w:rPr>
        <w:t>将打造国际化品牌作为杭州会展业发展的重要着力点，大力引进培育国际化展览品牌，进一步提升国际会议目的地城市地位，增强杭州会展国际影响力。</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1.大力引进培育国际化展览品牌</w:t>
      </w:r>
    </w:p>
    <w:p>
      <w:pPr>
        <w:keepNext w:val="0"/>
        <w:keepLines w:val="0"/>
        <w:pageBreakBefore w:val="0"/>
        <w:kinsoku/>
        <w:wordWrap/>
        <w:overflowPunct/>
        <w:topLinePunct w:val="0"/>
        <w:bidi w:val="0"/>
        <w:adjustRightInd/>
        <w:snapToGrid w:val="0"/>
        <w:spacing w:line="560" w:lineRule="exact"/>
        <w:ind w:firstLine="664"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spacing w:val="6"/>
          <w:kern w:val="0"/>
          <w:sz w:val="32"/>
          <w:szCs w:val="32"/>
          <w:lang w:eastAsia="zh-CN" w:bidi="en-US"/>
        </w:rPr>
        <w:t>充分发挥2022年</w:t>
      </w:r>
      <w:r>
        <w:rPr>
          <w:rFonts w:hint="eastAsia" w:ascii="仿宋_GB2312" w:hAnsi="Calibri" w:eastAsia="仿宋_GB2312" w:cs="Times New Roman"/>
          <w:color w:val="auto"/>
          <w:kern w:val="0"/>
          <w:sz w:val="32"/>
          <w:szCs w:val="32"/>
          <w:lang w:eastAsia="zh-CN" w:bidi="en-US"/>
        </w:rPr>
        <w:t>亚运会</w:t>
      </w:r>
      <w:r>
        <w:rPr>
          <w:rFonts w:hint="eastAsia" w:ascii="仿宋_GB2312" w:hAnsi="Calibri" w:eastAsia="仿宋_GB2312" w:cs="Times New Roman"/>
          <w:color w:val="auto"/>
          <w:spacing w:val="6"/>
          <w:kern w:val="0"/>
          <w:sz w:val="32"/>
          <w:szCs w:val="32"/>
          <w:lang w:eastAsia="zh-CN" w:bidi="en-US"/>
        </w:rPr>
        <w:t>的带动效应，着力提升中国杭州西湖博览会、杭州世界休闲博览会、中国国际茶叶博览会、中国国际动漫节、杭州文化创意产业博览会等本土品牌展览的国际化水平。鼓励和支持具有行业竞争力的知名展览企业引进一批具有世界影响力、与杭州优势产业相关联的会展品牌，进一步提升杭州展览的国际化水平。</w:t>
      </w:r>
      <w:r>
        <w:rPr>
          <w:rFonts w:hint="eastAsia" w:ascii="仿宋_GB2312" w:hAnsi="Calibri" w:eastAsia="仿宋_GB2312" w:cs="Times New Roman"/>
          <w:color w:val="auto"/>
          <w:kern w:val="0"/>
          <w:sz w:val="32"/>
          <w:szCs w:val="32"/>
          <w:lang w:eastAsia="zh-CN" w:bidi="en-US"/>
        </w:rPr>
        <w:t>加强与国际国内知名会展组织的联系，进一步深化与国内外重要大众媒体、会展媒体的合作，营造良好的公众形象。</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2.进一步提升国际会议目的地城市地位</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shd w:val="clear" w:color="auto" w:fill="FFFFFF"/>
          <w:lang w:eastAsia="zh-CN" w:bidi="en-US"/>
        </w:rPr>
      </w:pPr>
      <w:r>
        <w:rPr>
          <w:rFonts w:hint="eastAsia" w:ascii="仿宋_GB2312" w:hAnsi="Calibri" w:eastAsia="仿宋_GB2312" w:cs="Times New Roman"/>
          <w:color w:val="auto"/>
          <w:kern w:val="0"/>
          <w:sz w:val="32"/>
          <w:szCs w:val="32"/>
          <w:shd w:val="clear" w:color="auto" w:fill="FFFFFF"/>
          <w:lang w:eastAsia="zh-CN" w:bidi="en-US"/>
        </w:rPr>
        <w:t>充分发挥杭州最具幸福感城市、国际大都市、G20举办城市、全国数字经济第一城等品牌形象</w:t>
      </w:r>
      <w:r>
        <w:rPr>
          <w:rFonts w:hint="eastAsia" w:ascii="仿宋_GB2312" w:hAnsi="Calibri" w:eastAsia="仿宋_GB2312" w:cs="Times New Roman"/>
          <w:color w:val="auto"/>
          <w:spacing w:val="6"/>
          <w:kern w:val="0"/>
          <w:sz w:val="32"/>
          <w:szCs w:val="32"/>
          <w:lang w:eastAsia="zh-CN" w:bidi="en-US"/>
        </w:rPr>
        <w:t>，有效对接全球优质资源，着力引进一批具有世界影响力的国际会议、高端论坛项目，进一步提升国际化水平。</w:t>
      </w:r>
      <w:r>
        <w:rPr>
          <w:rFonts w:hint="eastAsia" w:ascii="仿宋_GB2312" w:hAnsi="Calibri" w:eastAsia="仿宋_GB2312" w:cs="Times New Roman"/>
          <w:color w:val="auto"/>
          <w:kern w:val="0"/>
          <w:sz w:val="32"/>
          <w:szCs w:val="32"/>
          <w:lang w:eastAsia="zh-CN" w:bidi="en-US"/>
        </w:rPr>
        <w:t>发挥杭州优势产业、高等院校及科研院所，以及在杭省市会展协会（学会）和会展关联高校的作用，</w:t>
      </w:r>
      <w:r>
        <w:rPr>
          <w:rFonts w:hint="eastAsia" w:ascii="仿宋_GB2312" w:hAnsi="Calibri" w:eastAsia="仿宋_GB2312" w:cs="Times New Roman"/>
          <w:color w:val="auto"/>
          <w:kern w:val="0"/>
          <w:sz w:val="32"/>
          <w:szCs w:val="32"/>
          <w:shd w:val="clear" w:color="auto" w:fill="FFFFFF"/>
          <w:lang w:eastAsia="zh-CN" w:bidi="en-US"/>
        </w:rPr>
        <w:t>提升</w:t>
      </w:r>
      <w:r>
        <w:rPr>
          <w:rFonts w:hint="eastAsia" w:ascii="仿宋_GB2312" w:hAnsi="Calibri" w:eastAsia="仿宋_GB2312" w:cs="Times New Roman"/>
          <w:color w:val="auto"/>
          <w:spacing w:val="6"/>
          <w:kern w:val="0"/>
          <w:sz w:val="32"/>
          <w:szCs w:val="32"/>
          <w:lang w:eastAsia="zh-CN" w:bidi="en-US"/>
        </w:rPr>
        <w:t>本土会议、论坛国际化程度，</w:t>
      </w:r>
      <w:r>
        <w:rPr>
          <w:rFonts w:hint="eastAsia" w:ascii="仿宋_GB2312" w:hAnsi="Calibri" w:eastAsia="仿宋_GB2312" w:cs="Times New Roman"/>
          <w:color w:val="auto"/>
          <w:kern w:val="0"/>
          <w:sz w:val="32"/>
          <w:szCs w:val="32"/>
          <w:lang w:eastAsia="zh-CN" w:bidi="en-US"/>
        </w:rPr>
        <w:t>积极承办协会（学会）年会、会员大会、专题研讨会，策划主办一批国际性的行业交流活动，提升重点受众群体的认同度，增强对行业从业者的吸引力。</w:t>
      </w:r>
      <w:r>
        <w:rPr>
          <w:rFonts w:hint="eastAsia" w:ascii="仿宋_GB2312" w:hAnsi="Calibri" w:eastAsia="仿宋_GB2312" w:cs="Times New Roman"/>
          <w:color w:val="auto"/>
          <w:kern w:val="0"/>
          <w:sz w:val="32"/>
          <w:szCs w:val="32"/>
          <w:shd w:val="clear" w:color="auto" w:fill="FFFFFF"/>
          <w:lang w:eastAsia="zh-CN" w:bidi="en-US"/>
        </w:rPr>
        <w:t>进一步完善专业会议场所、宾馆酒店会议配套设施设备，进一步提升会议场所设施智能化、数字化水平。</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3.增强杭州会展国际影响力</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支持本市会展企业加入主流的国际会展组织</w:t>
      </w:r>
      <w:r>
        <w:rPr>
          <w:rFonts w:hint="eastAsia" w:ascii="仿宋_GB2312" w:hAnsi="Calibri" w:eastAsia="仿宋_GB2312" w:cs="Times New Roman"/>
          <w:color w:val="auto"/>
          <w:kern w:val="0"/>
          <w:sz w:val="32"/>
          <w:szCs w:val="32"/>
          <w:u w:val="none"/>
          <w:lang w:eastAsia="zh-CN" w:bidi="en-US"/>
        </w:rPr>
        <w:t>，</w:t>
      </w:r>
      <w:r>
        <w:rPr>
          <w:rFonts w:hint="eastAsia" w:ascii="仿宋_GB2312" w:hAnsi="Calibri" w:eastAsia="仿宋_GB2312" w:cs="Times New Roman"/>
          <w:color w:val="auto"/>
          <w:kern w:val="0"/>
          <w:sz w:val="32"/>
          <w:szCs w:val="32"/>
          <w:u w:val="none"/>
          <w:shd w:val="clear" w:color="auto" w:fill="auto"/>
          <w:lang w:eastAsia="zh-CN" w:bidi="en-US"/>
        </w:rPr>
        <w:t>参与UFI、ICCA、UIA等国际会展组织机构的评估认证，</w:t>
      </w:r>
      <w:r>
        <w:rPr>
          <w:rFonts w:hint="eastAsia" w:ascii="仿宋_GB2312" w:hAnsi="Calibri" w:eastAsia="仿宋_GB2312" w:cs="Times New Roman"/>
          <w:color w:val="auto"/>
          <w:kern w:val="0"/>
          <w:sz w:val="32"/>
          <w:szCs w:val="32"/>
          <w:lang w:eastAsia="zh-CN" w:bidi="en-US"/>
        </w:rPr>
        <w:t>对完成认证的企业给予奖励。鼓励会展企业参与国际会展机构组织的重大活动，进一步提升海外营销能力。建立更加完善的内外联络机制，在纽约、洛杉矶、巴黎、伦敦、柏林、新加坡等城市设立重要联络站，强化会展业信息交流、项目和资本合作。充分挖掘世界旅游联盟（WTA）落户杭州的价值，大力打造城市会展发展大会、新经济会议目的地产业交易会品牌，不断提升杭州国际会义目的地城市的关注度。</w:t>
      </w:r>
    </w:p>
    <w:p>
      <w:pPr>
        <w:keepNext w:val="0"/>
        <w:keepLines w:val="0"/>
        <w:pageBreakBefore w:val="0"/>
        <w:kinsoku/>
        <w:wordWrap/>
        <w:overflowPunct/>
        <w:topLinePunct w:val="0"/>
        <w:bidi w:val="0"/>
        <w:adjustRightInd/>
        <w:snapToGrid w:val="0"/>
        <w:spacing w:line="560" w:lineRule="exact"/>
        <w:ind w:firstLine="568" w:firstLineChars="177"/>
        <w:textAlignment w:val="auto"/>
        <w:outlineLvl w:val="2"/>
        <w:rPr>
          <w:rFonts w:hint="eastAsia" w:ascii="仿宋_GB2312" w:hAnsi="Calibri" w:eastAsia="仿宋_GB2312" w:cs="Times New Roman"/>
          <w:b/>
          <w:bCs w:val="0"/>
          <w:color w:val="auto"/>
          <w:sz w:val="32"/>
          <w:szCs w:val="32"/>
          <w:u w:val="none"/>
          <w:lang w:val="en-US" w:eastAsia="zh-CN" w:bidi="en-US"/>
        </w:rPr>
      </w:pPr>
      <w:r>
        <w:rPr>
          <w:rFonts w:hint="eastAsia" w:ascii="仿宋_GB2312" w:hAnsi="Calibri" w:eastAsia="仿宋_GB2312" w:cs="Times New Roman"/>
          <w:b/>
          <w:bCs w:val="0"/>
          <w:color w:val="auto"/>
          <w:sz w:val="32"/>
          <w:szCs w:val="32"/>
          <w:u w:val="none"/>
          <w:lang w:val="en-US" w:eastAsia="zh-CN" w:bidi="en-US"/>
        </w:rPr>
        <w:t>4.积极参与国际会展组织</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u w:val="none"/>
          <w:lang w:eastAsia="zh-CN" w:bidi="en-US"/>
        </w:rPr>
      </w:pPr>
      <w:r>
        <w:rPr>
          <w:rFonts w:hint="eastAsia" w:ascii="仿宋_GB2312" w:hAnsi="Calibri" w:eastAsia="仿宋_GB2312" w:cs="Times New Roman"/>
          <w:color w:val="auto"/>
          <w:kern w:val="0"/>
          <w:sz w:val="32"/>
          <w:szCs w:val="32"/>
          <w:u w:val="none"/>
          <w:lang w:eastAsia="zh-CN" w:bidi="en-US"/>
        </w:rPr>
        <w:t>精简优化，突出重点，发挥杭州在联合国教科文组织“全球创意城市网络”、中国城市会展组织、长三角城市会展组织、中国会展直播产业网络中的骨干作用，强化与国际大会与会议协会（ICCA）、国际展览业协会（UFI）、国际展览与项目协会（IAEE）、独立组展商协会（SISO）等国际知名会展组织的联系，提升杭州在国际国内重点市场、重点组织、重点社群中的话语权。在数字会展、生态会展、会展标准化等领域发起国际性或全国性组织，展现杭州会展引领产业发展前沿的头雁风采。</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ascii="楷体_GB2312" w:hAnsi="Calibri" w:eastAsia="楷体_GB2312" w:cs="Times New Roman"/>
          <w:color w:val="auto"/>
          <w:kern w:val="0"/>
          <w:sz w:val="32"/>
          <w:szCs w:val="32"/>
          <w:lang w:eastAsia="zh-CN" w:bidi="en-US"/>
        </w:rPr>
      </w:pPr>
      <w:bookmarkStart w:id="13" w:name="_Toc1724730918"/>
      <w:r>
        <w:rPr>
          <w:rFonts w:ascii="楷体_GB2312" w:hAnsi="Calibri" w:eastAsia="楷体_GB2312" w:cs="Times New Roman"/>
          <w:color w:val="auto"/>
          <w:kern w:val="0"/>
          <w:sz w:val="32"/>
          <w:szCs w:val="32"/>
          <w:lang w:eastAsia="zh-CN" w:bidi="en-US"/>
        </w:rPr>
        <w:t>（三）</w:t>
      </w:r>
      <w:r>
        <w:rPr>
          <w:rFonts w:hint="eastAsia" w:ascii="楷体_GB2312" w:hAnsi="Calibri" w:eastAsia="楷体_GB2312" w:cs="Times New Roman"/>
          <w:color w:val="auto"/>
          <w:kern w:val="0"/>
          <w:sz w:val="32"/>
          <w:szCs w:val="32"/>
          <w:lang w:eastAsia="zh-CN" w:bidi="en-US"/>
        </w:rPr>
        <w:t>壮大特色会展产业集群</w:t>
      </w:r>
      <w:bookmarkEnd w:id="13"/>
    </w:p>
    <w:p>
      <w:pPr>
        <w:keepNext w:val="0"/>
        <w:keepLines w:val="0"/>
        <w:pageBreakBefore w:val="0"/>
        <w:kinsoku/>
        <w:wordWrap/>
        <w:overflowPunct/>
        <w:topLinePunct w:val="0"/>
        <w:bidi w:val="0"/>
        <w:adjustRightInd/>
        <w:snapToGrid w:val="0"/>
        <w:spacing w:line="560" w:lineRule="exact"/>
        <w:ind w:firstLine="640" w:firstLineChars="200"/>
        <w:jc w:val="left"/>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以市场化为主导，不断完善市场运行机制，持续壮大培育市场主体，积极促进会议、展览联动发展，壮大杭州特色会展产业集群。</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1.不断完善市场运行机制</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严格</w:t>
      </w:r>
      <w:r>
        <w:rPr>
          <w:rFonts w:hint="eastAsia" w:ascii="仿宋_GB2312" w:hAnsi="Calibri" w:eastAsia="仿宋_GB2312" w:cs="Times New Roman"/>
          <w:color w:val="auto"/>
          <w:kern w:val="0"/>
          <w:sz w:val="32"/>
          <w:szCs w:val="32"/>
          <w:lang w:bidi="en-US"/>
        </w:rPr>
        <w:t>规范</w:t>
      </w:r>
      <w:r>
        <w:rPr>
          <w:rFonts w:hint="eastAsia" w:ascii="仿宋_GB2312" w:hAnsi="Calibri" w:eastAsia="仿宋_GB2312" w:cs="Times New Roman"/>
          <w:color w:val="auto"/>
          <w:kern w:val="0"/>
          <w:sz w:val="32"/>
          <w:szCs w:val="32"/>
          <w:lang w:eastAsia="zh-CN" w:bidi="en-US"/>
        </w:rPr>
        <w:t>政府办展</w:t>
      </w:r>
      <w:r>
        <w:rPr>
          <w:rFonts w:hint="eastAsia" w:ascii="仿宋_GB2312" w:hAnsi="Calibri" w:eastAsia="仿宋_GB2312" w:cs="Times New Roman"/>
          <w:color w:val="auto"/>
          <w:kern w:val="0"/>
          <w:sz w:val="32"/>
          <w:szCs w:val="32"/>
          <w:lang w:bidi="en-US"/>
        </w:rPr>
        <w:t>，推进政府主导型会展活动逐步市场化转型，减少财政投入</w:t>
      </w:r>
      <w:r>
        <w:rPr>
          <w:rFonts w:hint="eastAsia" w:ascii="仿宋_GB2312" w:hAnsi="Calibri" w:eastAsia="仿宋_GB2312" w:cs="Times New Roman"/>
          <w:color w:val="auto"/>
          <w:kern w:val="0"/>
          <w:sz w:val="32"/>
          <w:szCs w:val="32"/>
          <w:lang w:eastAsia="zh-CN" w:bidi="en-US"/>
        </w:rPr>
        <w:t>。优化政务服务，建立市、区两级商务、公安、城管、交通、消防、文旅等跨部门联席协调机制，创新备案程序，提高会展公共服务水平。强化市场监管，制定产业政策、行业标准和服务规范，实行会展企业、会展项目等级评定。持续规范市场发展环境，营造平等参与、有序竞争、规范运行的市场环境。</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2.持续壮大培育市场主体</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color w:val="auto"/>
          <w:kern w:val="0"/>
          <w:sz w:val="32"/>
          <w:szCs w:val="32"/>
          <w:lang w:eastAsia="zh-CN" w:bidi="en-US"/>
        </w:rPr>
        <w:t>用好政策手段运用市场机制帮助会展企业“做强做大”，推动有条件的会展企业通过收购、兼并、参股等方式实现集团化发展，形成具有国际竞争力的领军企业，鼓励大型会展企业上市挂牌。加大招商引资力度，引进国内外知名的会展主办、目的地管理和会展服务等企业的总部或重要分部落户杭州。积极培育新兴会展企业，利用杭州数字经济优势创建新型会展公司，形成创新力量。加强市场化载体建设，进一步提升杭州钱江世纪会展产业园的能级，引进更多优秀会展企业，鼓励有条件的区、县（市）创建市级或更高级别的会展产业园。</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3.积极促进会议、展览联动发展</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color w:val="auto"/>
          <w:kern w:val="0"/>
          <w:sz w:val="32"/>
          <w:szCs w:val="32"/>
          <w:lang w:eastAsia="zh-CN" w:bidi="en-US"/>
        </w:rPr>
        <w:t>顺应“会议+展览”行业发展形势，支持以展览为主的项目主办方在展览期间举办高端会议论坛，策划与展览内容配套的行业会议或论坛。不断优化会展场馆中的会议场地与展览场地的比例，为展中会、会中展的新型会展模式提供场地和设施。重视会议和展览在组织和运营上存在的差异，不断提升服务能力、完善服务链。</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4.继续打造会展完整产业链</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完善以主办方、场馆和服务为主体的会展产业链，发挥产业链上游、中游和下游的协同促进作用，推动本市会展业能级和水平的整体跃升。进一步提升会展产业链支链的支撑力量，促进仓储物流、搭建装饰、宣传推广、信息咨询、住宿餐饮、交通运输、旅游零售等服务</w:t>
      </w:r>
      <w:r>
        <w:rPr>
          <w:rFonts w:hint="eastAsia" w:ascii="仿宋_GB2312" w:hAnsi="Calibri" w:eastAsia="仿宋_GB2312" w:cs="Times New Roman"/>
          <w:color w:val="auto"/>
          <w:kern w:val="0"/>
          <w:sz w:val="32"/>
          <w:szCs w:val="32"/>
          <w:lang w:bidi="en-US"/>
        </w:rPr>
        <w:t>行业</w:t>
      </w:r>
      <w:r>
        <w:rPr>
          <w:rFonts w:hint="eastAsia" w:ascii="仿宋_GB2312" w:hAnsi="Calibri" w:eastAsia="仿宋_GB2312" w:cs="Times New Roman"/>
          <w:color w:val="auto"/>
          <w:kern w:val="0"/>
          <w:sz w:val="32"/>
          <w:szCs w:val="32"/>
          <w:lang w:eastAsia="zh-CN" w:bidi="en-US"/>
        </w:rPr>
        <w:t>与会展业协同发展，提升整体水平。鼓励建设各类专业会展配套服务公司，如目的地管理公司、数字技术服务公司、海外营销传播公司等，经过3-5年时间，建成全国领先的城市会展配套服务市场。</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hint="eastAsia" w:ascii="楷体_GB2312" w:hAnsi="Calibri" w:eastAsia="楷体_GB2312" w:cs="Times New Roman"/>
          <w:color w:val="auto"/>
          <w:kern w:val="0"/>
          <w:sz w:val="32"/>
          <w:szCs w:val="32"/>
          <w:lang w:eastAsia="zh-CN" w:bidi="en-US"/>
        </w:rPr>
      </w:pPr>
      <w:bookmarkStart w:id="14" w:name="_Toc2024759895"/>
      <w:r>
        <w:rPr>
          <w:rFonts w:hint="eastAsia" w:ascii="楷体_GB2312" w:hAnsi="Calibri" w:eastAsia="楷体_GB2312" w:cs="Times New Roman"/>
          <w:color w:val="auto"/>
          <w:kern w:val="0"/>
          <w:sz w:val="32"/>
          <w:szCs w:val="32"/>
          <w:lang w:eastAsia="zh-CN" w:bidi="en-US"/>
        </w:rPr>
        <w:t>（四）优化会展产业空间格局</w:t>
      </w:r>
      <w:bookmarkEnd w:id="14"/>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ascii="仿宋_GB2312" w:hAnsi="Calibri" w:eastAsia="仿宋_GB2312" w:cs="Times New Roman"/>
          <w:b w:val="0"/>
          <w:bCs w:val="0"/>
          <w:color w:val="auto"/>
          <w:kern w:val="0"/>
          <w:sz w:val="32"/>
          <w:szCs w:val="32"/>
          <w:u w:val="none"/>
          <w:lang w:eastAsia="zh-CN" w:bidi="en-US"/>
        </w:rPr>
      </w:pPr>
      <w:r>
        <w:rPr>
          <w:rFonts w:hint="eastAsia" w:ascii="仿宋_GB2312" w:hAnsi="Calibri" w:eastAsia="仿宋_GB2312" w:cs="Times New Roman"/>
          <w:b w:val="0"/>
          <w:bCs w:val="0"/>
          <w:color w:val="auto"/>
          <w:kern w:val="0"/>
          <w:sz w:val="32"/>
          <w:szCs w:val="32"/>
          <w:u w:val="none"/>
          <w:lang w:eastAsia="zh-CN" w:bidi="en-US"/>
        </w:rPr>
        <w:t>以社会公共设施定位展览场馆，发挥场馆吸引知名展览会和展览主办公司的作用，</w:t>
      </w:r>
      <w:r>
        <w:rPr>
          <w:rFonts w:ascii="仿宋_GB2312" w:hAnsi="Calibri" w:eastAsia="仿宋_GB2312" w:cs="Times New Roman"/>
          <w:b w:val="0"/>
          <w:bCs w:val="0"/>
          <w:color w:val="auto"/>
          <w:kern w:val="0"/>
          <w:sz w:val="32"/>
          <w:szCs w:val="32"/>
          <w:u w:val="none"/>
          <w:lang w:eastAsia="zh-CN" w:bidi="en-US"/>
        </w:rPr>
        <w:t>增强</w:t>
      </w:r>
      <w:r>
        <w:rPr>
          <w:rFonts w:hint="eastAsia" w:ascii="仿宋_GB2312" w:hAnsi="Calibri" w:eastAsia="仿宋_GB2312" w:cs="Times New Roman"/>
          <w:b w:val="0"/>
          <w:bCs w:val="0"/>
          <w:color w:val="auto"/>
          <w:kern w:val="0"/>
          <w:sz w:val="32"/>
          <w:szCs w:val="32"/>
          <w:u w:val="none"/>
          <w:lang w:eastAsia="zh-CN" w:bidi="en-US"/>
        </w:rPr>
        <w:t>杭州大</w:t>
      </w:r>
      <w:r>
        <w:rPr>
          <w:rFonts w:ascii="仿宋_GB2312" w:hAnsi="Calibri" w:eastAsia="仿宋_GB2312" w:cs="Times New Roman"/>
          <w:b w:val="0"/>
          <w:bCs w:val="0"/>
          <w:color w:val="auto"/>
          <w:kern w:val="0"/>
          <w:sz w:val="32"/>
          <w:szCs w:val="32"/>
          <w:u w:val="none"/>
          <w:lang w:eastAsia="zh-CN" w:bidi="en-US"/>
        </w:rPr>
        <w:t>会展中心、</w:t>
      </w:r>
      <w:r>
        <w:rPr>
          <w:rFonts w:hint="eastAsia" w:ascii="仿宋_GB2312" w:hAnsi="Calibri" w:eastAsia="仿宋_GB2312" w:cs="Times New Roman"/>
          <w:b w:val="0"/>
          <w:bCs w:val="0"/>
          <w:color w:val="auto"/>
          <w:kern w:val="0"/>
          <w:sz w:val="32"/>
          <w:szCs w:val="32"/>
          <w:u w:val="none"/>
          <w:lang w:eastAsia="zh-CN" w:bidi="en-US"/>
        </w:rPr>
        <w:t>杭州国际博览中心</w:t>
      </w:r>
      <w:r>
        <w:rPr>
          <w:rFonts w:ascii="仿宋_GB2312" w:hAnsi="Calibri" w:eastAsia="仿宋_GB2312" w:cs="Times New Roman"/>
          <w:b w:val="0"/>
          <w:bCs w:val="0"/>
          <w:color w:val="auto"/>
          <w:kern w:val="0"/>
          <w:sz w:val="32"/>
          <w:szCs w:val="32"/>
          <w:u w:val="none"/>
          <w:lang w:eastAsia="zh-CN" w:bidi="en-US"/>
        </w:rPr>
        <w:t>的驱动力</w:t>
      </w:r>
      <w:r>
        <w:rPr>
          <w:rFonts w:hint="eastAsia" w:ascii="仿宋_GB2312" w:hAnsi="Calibri" w:eastAsia="仿宋_GB2312" w:cs="Times New Roman"/>
          <w:b w:val="0"/>
          <w:bCs w:val="0"/>
          <w:color w:val="auto"/>
          <w:kern w:val="0"/>
          <w:sz w:val="32"/>
          <w:szCs w:val="32"/>
          <w:u w:val="none"/>
          <w:lang w:eastAsia="zh-CN" w:bidi="en-US"/>
        </w:rPr>
        <w:t>，</w:t>
      </w:r>
      <w:r>
        <w:rPr>
          <w:rFonts w:ascii="仿宋_GB2312" w:hAnsi="Calibri" w:eastAsia="仿宋_GB2312" w:cs="Times New Roman"/>
          <w:b w:val="0"/>
          <w:bCs w:val="0"/>
          <w:color w:val="auto"/>
          <w:kern w:val="0"/>
          <w:sz w:val="32"/>
          <w:szCs w:val="32"/>
          <w:u w:val="none"/>
          <w:lang w:eastAsia="zh-CN" w:bidi="en-US"/>
        </w:rPr>
        <w:t>新建、提升一批场馆会展园区</w:t>
      </w:r>
      <w:r>
        <w:rPr>
          <w:rFonts w:hint="eastAsia" w:ascii="仿宋_GB2312" w:hAnsi="Calibri" w:eastAsia="仿宋_GB2312" w:cs="Times New Roman"/>
          <w:b w:val="0"/>
          <w:bCs w:val="0"/>
          <w:color w:val="auto"/>
          <w:kern w:val="0"/>
          <w:sz w:val="32"/>
          <w:szCs w:val="32"/>
          <w:u w:val="none"/>
          <w:lang w:eastAsia="zh-CN" w:bidi="en-US"/>
        </w:rPr>
        <w:t>，</w:t>
      </w:r>
      <w:r>
        <w:rPr>
          <w:rFonts w:ascii="仿宋_GB2312" w:hAnsi="Calibri" w:eastAsia="仿宋_GB2312" w:cs="Times New Roman"/>
          <w:b w:val="0"/>
          <w:bCs w:val="0"/>
          <w:color w:val="auto"/>
          <w:kern w:val="0"/>
          <w:sz w:val="32"/>
          <w:szCs w:val="32"/>
          <w:u w:val="none"/>
          <w:lang w:eastAsia="zh-CN" w:bidi="en-US"/>
        </w:rPr>
        <w:t>加快形成</w:t>
      </w:r>
      <w:r>
        <w:rPr>
          <w:rFonts w:hint="eastAsia" w:ascii="仿宋_GB2312" w:hAnsi="Calibri" w:eastAsia="仿宋_GB2312" w:cs="Times New Roman"/>
          <w:b w:val="0"/>
          <w:bCs w:val="0"/>
          <w:color w:val="auto"/>
          <w:kern w:val="0"/>
          <w:sz w:val="32"/>
          <w:szCs w:val="32"/>
          <w:u w:val="none"/>
          <w:lang w:eastAsia="zh-CN" w:bidi="en-US"/>
        </w:rPr>
        <w:t>“</w:t>
      </w:r>
      <w:r>
        <w:rPr>
          <w:rFonts w:ascii="仿宋_GB2312" w:hAnsi="Calibri" w:eastAsia="仿宋_GB2312" w:cs="Times New Roman"/>
          <w:b w:val="0"/>
          <w:bCs w:val="0"/>
          <w:color w:val="auto"/>
          <w:kern w:val="0"/>
          <w:sz w:val="32"/>
          <w:szCs w:val="32"/>
          <w:u w:val="none"/>
          <w:lang w:eastAsia="zh-CN" w:bidi="en-US"/>
        </w:rPr>
        <w:t>双心驱动、多极联动</w:t>
      </w:r>
      <w:r>
        <w:rPr>
          <w:rFonts w:hint="eastAsia" w:ascii="仿宋_GB2312" w:hAnsi="Calibri" w:eastAsia="仿宋_GB2312" w:cs="Times New Roman"/>
          <w:b w:val="0"/>
          <w:bCs w:val="0"/>
          <w:color w:val="auto"/>
          <w:kern w:val="0"/>
          <w:sz w:val="32"/>
          <w:szCs w:val="32"/>
          <w:u w:val="none"/>
          <w:lang w:eastAsia="zh-CN" w:bidi="en-US"/>
        </w:rPr>
        <w:t>、</w:t>
      </w:r>
      <w:r>
        <w:rPr>
          <w:rFonts w:ascii="仿宋_GB2312" w:hAnsi="Calibri" w:eastAsia="仿宋_GB2312" w:cs="Times New Roman"/>
          <w:b w:val="0"/>
          <w:bCs w:val="0"/>
          <w:color w:val="auto"/>
          <w:kern w:val="0"/>
          <w:sz w:val="32"/>
          <w:szCs w:val="32"/>
          <w:u w:val="none"/>
          <w:lang w:eastAsia="zh-CN" w:bidi="en-US"/>
        </w:rPr>
        <w:t>全域协同</w:t>
      </w:r>
      <w:r>
        <w:rPr>
          <w:rFonts w:hint="eastAsia" w:ascii="仿宋_GB2312" w:hAnsi="Calibri" w:eastAsia="仿宋_GB2312" w:cs="Times New Roman"/>
          <w:b w:val="0"/>
          <w:bCs w:val="0"/>
          <w:color w:val="auto"/>
          <w:kern w:val="0"/>
          <w:sz w:val="32"/>
          <w:szCs w:val="32"/>
          <w:u w:val="none"/>
          <w:lang w:eastAsia="zh-CN" w:bidi="en-US"/>
        </w:rPr>
        <w:t>”</w:t>
      </w:r>
      <w:r>
        <w:rPr>
          <w:rFonts w:ascii="仿宋_GB2312" w:hAnsi="Calibri" w:eastAsia="仿宋_GB2312" w:cs="Times New Roman"/>
          <w:b w:val="0"/>
          <w:bCs w:val="0"/>
          <w:color w:val="auto"/>
          <w:kern w:val="0"/>
          <w:sz w:val="32"/>
          <w:szCs w:val="32"/>
          <w:u w:val="none"/>
          <w:lang w:eastAsia="zh-CN" w:bidi="en-US"/>
        </w:rPr>
        <w:t>的杭州会展业发展</w:t>
      </w:r>
      <w:r>
        <w:rPr>
          <w:rFonts w:hint="eastAsia" w:ascii="仿宋_GB2312" w:hAnsi="Calibri" w:eastAsia="仿宋_GB2312" w:cs="Times New Roman"/>
          <w:b w:val="0"/>
          <w:bCs w:val="0"/>
          <w:color w:val="auto"/>
          <w:kern w:val="0"/>
          <w:sz w:val="32"/>
          <w:szCs w:val="32"/>
          <w:u w:val="none"/>
          <w:lang w:eastAsia="zh-CN" w:bidi="en-US"/>
        </w:rPr>
        <w:t>空间</w:t>
      </w:r>
      <w:r>
        <w:rPr>
          <w:rFonts w:ascii="仿宋_GB2312" w:hAnsi="Calibri" w:eastAsia="仿宋_GB2312" w:cs="Times New Roman"/>
          <w:b w:val="0"/>
          <w:bCs w:val="0"/>
          <w:color w:val="auto"/>
          <w:kern w:val="0"/>
          <w:sz w:val="32"/>
          <w:szCs w:val="32"/>
          <w:u w:val="none"/>
          <w:lang w:eastAsia="zh-CN" w:bidi="en-US"/>
        </w:rPr>
        <w:t>新格局。</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bCs/>
          <w:color w:val="auto"/>
          <w:kern w:val="0"/>
          <w:sz w:val="32"/>
          <w:szCs w:val="32"/>
          <w:u w:val="none"/>
          <w:lang w:eastAsia="zh-CN" w:bidi="en-US"/>
        </w:rPr>
      </w:pPr>
      <w:r>
        <w:rPr>
          <w:rFonts w:hint="eastAsia" w:ascii="仿宋_GB2312" w:hAnsi="Calibri" w:eastAsia="仿宋_GB2312" w:cs="Times New Roman"/>
          <w:b/>
          <w:bCs/>
          <w:color w:val="auto"/>
          <w:kern w:val="0"/>
          <w:sz w:val="32"/>
          <w:szCs w:val="32"/>
          <w:u w:val="none"/>
          <w:lang w:eastAsia="zh-CN" w:bidi="en-US"/>
        </w:rPr>
        <w:t>1.增强杭州大会展中心、杭州国际博览中心的驱动力</w:t>
      </w:r>
    </w:p>
    <w:p>
      <w:pPr>
        <w:keepNext w:val="0"/>
        <w:keepLines w:val="0"/>
        <w:pageBreakBefore w:val="0"/>
        <w:kinsoku/>
        <w:wordWrap/>
        <w:overflowPunct/>
        <w:topLinePunct w:val="0"/>
        <w:bidi w:val="0"/>
        <w:adjustRightInd/>
        <w:snapToGrid w:val="0"/>
        <w:spacing w:line="560" w:lineRule="exact"/>
        <w:ind w:firstLine="642" w:firstLineChars="200"/>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重点建设杭州大会展中心。</w:t>
      </w:r>
      <w:r>
        <w:rPr>
          <w:rFonts w:hint="eastAsia" w:ascii="仿宋_GB2312" w:hAnsi="Calibri" w:eastAsia="仿宋_GB2312" w:cs="Times New Roman"/>
          <w:color w:val="auto"/>
          <w:kern w:val="0"/>
          <w:sz w:val="32"/>
          <w:szCs w:val="32"/>
          <w:lang w:eastAsia="zh-CN" w:bidi="en-US"/>
        </w:rPr>
        <w:t>坚持实用原则，在突出场馆功能性设计的基础上，统筹兼顾，做好运管主体经营目标与政府会展业发展规划的结合、展馆公益性与新城商业性的结合、白天经营业态与晚间经济业态的结合、地上设施和地下设施的结合等。通过创新投资运营模式，实现规划、投资、建设、营运“四位一体”，确保建设资金及时到位，按期推进各项建设任务。引入会展综合体理念，以“馆线同建”方式做好交通配套设施建设，实现与城市高架、地铁叠加，与国际机场、高铁枢纽快速联通，陆上、空中、网上三位一体无缝对接，构建起超大规模的杭州标志性的会展综合体。</w:t>
      </w:r>
    </w:p>
    <w:p>
      <w:pPr>
        <w:keepNext w:val="0"/>
        <w:keepLines w:val="0"/>
        <w:pageBreakBefore w:val="0"/>
        <w:kinsoku/>
        <w:wordWrap/>
        <w:overflowPunct/>
        <w:topLinePunct w:val="0"/>
        <w:bidi w:val="0"/>
        <w:adjustRightInd/>
        <w:snapToGrid w:val="0"/>
        <w:spacing w:line="560" w:lineRule="exact"/>
        <w:ind w:firstLine="642" w:firstLineChars="200"/>
        <w:jc w:val="left"/>
        <w:textAlignment w:val="auto"/>
        <w:rPr>
          <w:rFonts w:hint="eastAsia" w:ascii="仿宋_GB2312" w:hAnsi="Times New Roman" w:eastAsia="仿宋_GB2312" w:cs="Times New Roman"/>
          <w:color w:val="auto"/>
          <w:spacing w:val="6"/>
          <w:kern w:val="2"/>
          <w:sz w:val="32"/>
          <w:szCs w:val="32"/>
          <w:lang w:eastAsia="zh-CN" w:bidi="en-US"/>
        </w:rPr>
      </w:pPr>
      <w:r>
        <w:rPr>
          <w:rFonts w:hint="eastAsia" w:ascii="仿宋_GB2312" w:hAnsi="Times New Roman" w:eastAsia="仿宋_GB2312" w:cs="Times New Roman"/>
          <w:b/>
          <w:color w:val="auto"/>
          <w:kern w:val="0"/>
          <w:sz w:val="32"/>
          <w:szCs w:val="32"/>
          <w:lang w:eastAsia="zh-CN" w:bidi="en-US"/>
        </w:rPr>
        <w:t>积极推进杭州国际博览中心扩容。</w:t>
      </w:r>
      <w:r>
        <w:rPr>
          <w:rFonts w:hint="eastAsia" w:ascii="仿宋_GB2312" w:hAnsi="Times New Roman" w:eastAsia="仿宋_GB2312" w:cs="Times New Roman"/>
          <w:color w:val="auto"/>
          <w:spacing w:val="6"/>
          <w:kern w:val="2"/>
          <w:sz w:val="32"/>
          <w:szCs w:val="32"/>
          <w:lang w:eastAsia="zh-CN" w:bidi="en-US"/>
        </w:rPr>
        <w:t>进一步提升杭州国际博览中心一期会展服务功能，加快建设杭州国际博览中心二期</w:t>
      </w:r>
      <w:r>
        <w:rPr>
          <w:rFonts w:hint="eastAsia" w:ascii="仿宋_GB2312" w:hAnsi="仿宋_GB2312" w:eastAsia="仿宋_GB2312" w:cs="仿宋_GB2312"/>
          <w:color w:val="auto"/>
          <w:spacing w:val="6"/>
          <w:kern w:val="2"/>
          <w:sz w:val="32"/>
          <w:szCs w:val="32"/>
          <w:lang w:eastAsia="zh-CN" w:bidi="en-US"/>
        </w:rPr>
        <w:t>，打造成集</w:t>
      </w:r>
      <w:r>
        <w:rPr>
          <w:rFonts w:hint="eastAsia" w:ascii="仿宋_GB2312" w:hAnsi="Times New Roman" w:eastAsia="仿宋_GB2312" w:cs="Times New Roman"/>
          <w:color w:val="auto"/>
          <w:spacing w:val="6"/>
          <w:kern w:val="2"/>
          <w:sz w:val="32"/>
          <w:szCs w:val="32"/>
          <w:lang w:eastAsia="zh-CN" w:bidi="en-US"/>
        </w:rPr>
        <w:t>会议展览、音乐厅、酒店办公、博物馆等于一体的综合性功能区，弥补杭州承揽“大会大展”在硬件上的不足，促进商务、金融、物流、商业、酒店、餐饮、娱乐休闲等配套设施建设升级，进一步提升杭州举办国际会议展览的服务能力。</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Times New Roman" w:eastAsia="仿宋_GB2312" w:cs="Times New Roman"/>
          <w:b/>
          <w:color w:val="auto"/>
          <w:kern w:val="0"/>
          <w:sz w:val="32"/>
          <w:szCs w:val="32"/>
          <w:lang w:eastAsia="zh-CN" w:bidi="en-US"/>
        </w:rPr>
      </w:pPr>
      <w:r>
        <w:rPr>
          <w:rFonts w:hint="eastAsia" w:ascii="仿宋_GB2312" w:hAnsi="Times New Roman" w:eastAsia="仿宋_GB2312" w:cs="Times New Roman"/>
          <w:b/>
          <w:color w:val="auto"/>
          <w:kern w:val="0"/>
          <w:sz w:val="32"/>
          <w:szCs w:val="32"/>
          <w:lang w:eastAsia="zh-CN" w:bidi="en-US"/>
        </w:rPr>
        <w:t>2.新建、</w:t>
      </w:r>
      <w:r>
        <w:rPr>
          <w:rFonts w:hint="eastAsia" w:ascii="仿宋_GB2312" w:hAnsi="Calibri" w:eastAsia="仿宋_GB2312" w:cs="Times New Roman"/>
          <w:b/>
          <w:color w:val="auto"/>
          <w:kern w:val="0"/>
          <w:sz w:val="32"/>
          <w:szCs w:val="32"/>
          <w:lang w:eastAsia="zh-CN" w:bidi="en-US"/>
        </w:rPr>
        <w:t>提升一批场馆会展园区</w:t>
      </w:r>
    </w:p>
    <w:p>
      <w:pPr>
        <w:keepNext w:val="0"/>
        <w:keepLines w:val="0"/>
        <w:pageBreakBefore w:val="0"/>
        <w:kinsoku/>
        <w:wordWrap/>
        <w:overflowPunct/>
        <w:topLinePunct w:val="0"/>
        <w:bidi w:val="0"/>
        <w:adjustRightInd/>
        <w:snapToGrid w:val="0"/>
        <w:spacing w:line="560" w:lineRule="exact"/>
        <w:ind w:firstLine="666" w:firstLineChars="200"/>
        <w:contextualSpacing/>
        <w:textAlignment w:val="auto"/>
        <w:rPr>
          <w:rFonts w:hint="eastAsia" w:ascii="仿宋_GB2312" w:hAnsi="Calibri" w:eastAsia="仿宋_GB2312" w:cs="Times New Roman"/>
          <w:color w:val="auto"/>
          <w:spacing w:val="6"/>
          <w:kern w:val="0"/>
          <w:sz w:val="32"/>
          <w:szCs w:val="32"/>
          <w:lang w:eastAsia="zh-CN" w:bidi="en-US"/>
        </w:rPr>
      </w:pPr>
      <w:r>
        <w:rPr>
          <w:rFonts w:hint="eastAsia" w:ascii="仿宋_GB2312" w:hAnsi="Calibri" w:eastAsia="仿宋_GB2312" w:cs="Times New Roman"/>
          <w:b/>
          <w:color w:val="auto"/>
          <w:spacing w:val="6"/>
          <w:kern w:val="0"/>
          <w:sz w:val="32"/>
          <w:szCs w:val="32"/>
          <w:lang w:eastAsia="zh-CN" w:bidi="en-US"/>
        </w:rPr>
        <w:t>提升现有会议展览设施。</w:t>
      </w:r>
      <w:r>
        <w:rPr>
          <w:rFonts w:hint="eastAsia" w:ascii="仿宋_GB2312" w:hAnsi="Calibri" w:eastAsia="仿宋_GB2312" w:cs="Times New Roman"/>
          <w:color w:val="auto"/>
          <w:spacing w:val="6"/>
          <w:kern w:val="0"/>
          <w:sz w:val="32"/>
          <w:szCs w:val="32"/>
          <w:lang w:eastAsia="zh-CN" w:bidi="en-US"/>
        </w:rPr>
        <w:t>着力提升白马湖国际会展中心、云栖小镇国际会展中心等场馆设施，整合其它分布在城区各个方位的展馆资源，联动举办各类展览。以钱江新城、钱江世纪城、武林新城、城东新城等为重点，整合环西湖、千岛湖、奥体博览中心、湘湖—白马湖、金沙湖、之江、西溪等酒店资源，进一步优化高星级标准酒店、会议场地设施，提升高层级会议承接能力。</w:t>
      </w:r>
    </w:p>
    <w:p>
      <w:pPr>
        <w:keepNext w:val="0"/>
        <w:keepLines w:val="0"/>
        <w:pageBreakBefore w:val="0"/>
        <w:kinsoku/>
        <w:wordWrap/>
        <w:overflowPunct/>
        <w:topLinePunct w:val="0"/>
        <w:bidi w:val="0"/>
        <w:adjustRightInd/>
        <w:snapToGrid w:val="0"/>
        <w:spacing w:line="560" w:lineRule="exact"/>
        <w:ind w:firstLine="565" w:firstLineChars="176"/>
        <w:jc w:val="left"/>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新建会展集聚产业园。</w:t>
      </w:r>
      <w:r>
        <w:rPr>
          <w:rFonts w:hint="eastAsia" w:ascii="仿宋_GB2312" w:hAnsi="Calibri" w:eastAsia="仿宋_GB2312" w:cs="Times New Roman"/>
          <w:color w:val="auto"/>
          <w:kern w:val="0"/>
          <w:sz w:val="32"/>
          <w:szCs w:val="32"/>
          <w:lang w:eastAsia="zh-CN" w:bidi="en-US"/>
        </w:rPr>
        <w:t>构建以“金融、总部、科技”为主导和以“体育、会展、数字内容”为特色的跨行业会展平台，打造兼具商贸、旅游、演艺、赛事等功能的国内一流的会展集聚产业园。招引国内外知名会展企业入园运营，大力培育会展前中后期包括会展主办、代理、商旅、物流、展示设计、展馆运营等在内的全产业链，促进会展和体育休闲演艺产业聚集，形成“会展+N”特色产业示范性聚集区。</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3.推动区、县（市）会展业协同发展</w:t>
      </w:r>
    </w:p>
    <w:p>
      <w:pPr>
        <w:keepNext w:val="0"/>
        <w:keepLines w:val="0"/>
        <w:pageBreakBefore w:val="0"/>
        <w:kinsoku/>
        <w:wordWrap/>
        <w:overflowPunct/>
        <w:topLinePunct w:val="0"/>
        <w:bidi w:val="0"/>
        <w:adjustRightInd/>
        <w:snapToGrid w:val="0"/>
        <w:spacing w:line="560" w:lineRule="exact"/>
        <w:ind w:firstLine="645" w:firstLineChars="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各区、县（市）提升当地现有场馆设施，结合当地需求新建会展场馆，发展与本地产业发展、区域特色相匹配的特色会展项目，打造一地一会展品牌。</w:t>
      </w:r>
    </w:p>
    <w:p>
      <w:pPr>
        <w:keepNext w:val="0"/>
        <w:keepLines w:val="0"/>
        <w:pageBreakBefore w:val="0"/>
        <w:widowControl/>
        <w:kinsoku/>
        <w:wordWrap/>
        <w:overflowPunct/>
        <w:topLinePunct w:val="0"/>
        <w:bidi w:val="0"/>
        <w:adjustRightInd/>
        <w:snapToGrid/>
        <w:spacing w:before="156" w:beforeLines="50" w:beforeAutospacing="0" w:after="156" w:afterLines="50" w:afterAutospacing="0" w:line="400" w:lineRule="exact"/>
        <w:contextualSpacing/>
        <w:jc w:val="center"/>
        <w:textAlignment w:val="auto"/>
        <w:rPr>
          <w:rFonts w:hint="eastAsia" w:ascii="黑体" w:hAnsi="黑体" w:eastAsia="黑体" w:cs="黑体"/>
          <w:b w:val="0"/>
          <w:bCs/>
          <w:color w:val="auto"/>
          <w:kern w:val="0"/>
          <w:sz w:val="24"/>
          <w:szCs w:val="24"/>
          <w:lang w:eastAsia="zh-CN" w:bidi="en-US"/>
        </w:rPr>
      </w:pPr>
      <w:r>
        <w:rPr>
          <w:rFonts w:hint="eastAsia" w:ascii="黑体" w:hAnsi="黑体" w:eastAsia="黑体" w:cs="黑体"/>
          <w:b w:val="0"/>
          <w:bCs/>
          <w:color w:val="auto"/>
          <w:kern w:val="0"/>
          <w:sz w:val="24"/>
          <w:szCs w:val="24"/>
          <w:lang w:eastAsia="zh-CN" w:bidi="en-US"/>
        </w:rPr>
        <w:t xml:space="preserve"> 区</w:t>
      </w:r>
      <w:r>
        <w:rPr>
          <w:rFonts w:hint="eastAsia" w:ascii="黑体" w:hAnsi="黑体" w:eastAsia="黑体" w:cs="黑体"/>
          <w:b w:val="0"/>
          <w:bCs/>
          <w:color w:val="auto"/>
          <w:kern w:val="0"/>
          <w:sz w:val="24"/>
          <w:szCs w:val="22"/>
          <w:lang w:eastAsia="zh-CN" w:bidi="en-US"/>
        </w:rPr>
        <w:t>、县</w:t>
      </w:r>
      <w:r>
        <w:rPr>
          <w:rFonts w:hint="eastAsia" w:ascii="黑体" w:hAnsi="黑体" w:eastAsia="黑体" w:cs="黑体"/>
          <w:b w:val="0"/>
          <w:bCs/>
          <w:color w:val="auto"/>
          <w:kern w:val="0"/>
          <w:sz w:val="24"/>
          <w:szCs w:val="24"/>
          <w:lang w:eastAsia="zh-CN" w:bidi="en-US"/>
        </w:rPr>
        <w:t>（市）会展业发展主要内容</w:t>
      </w:r>
    </w:p>
    <w:p>
      <w:pPr>
        <w:widowControl/>
        <w:spacing w:before="156" w:beforeLines="50" w:beforeAutospacing="0" w:after="156" w:afterLines="50" w:afterAutospacing="0" w:line="360" w:lineRule="auto"/>
        <w:contextualSpacing/>
        <w:jc w:val="center"/>
        <w:rPr>
          <w:rFonts w:hint="eastAsia" w:ascii="黑体" w:hAnsi="黑体" w:eastAsia="黑体" w:cs="黑体"/>
          <w:b w:val="0"/>
          <w:bCs/>
          <w:color w:val="auto"/>
          <w:kern w:val="0"/>
          <w:sz w:val="24"/>
          <w:szCs w:val="24"/>
          <w:lang w:eastAsia="zh-CN" w:bidi="en-US"/>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黑体" w:hAnsi="黑体" w:eastAsia="黑体" w:cs="黑体"/>
                <w:b w:val="0"/>
                <w:bCs/>
                <w:color w:val="auto"/>
                <w:kern w:val="0"/>
                <w:sz w:val="24"/>
                <w:szCs w:val="24"/>
                <w:lang w:eastAsia="en-US" w:bidi="en-US"/>
              </w:rPr>
            </w:pPr>
            <w:r>
              <w:rPr>
                <w:rFonts w:hint="eastAsia" w:ascii="黑体" w:hAnsi="黑体" w:eastAsia="黑体" w:cs="黑体"/>
                <w:b w:val="0"/>
                <w:bCs/>
                <w:color w:val="auto"/>
                <w:kern w:val="0"/>
                <w:sz w:val="24"/>
                <w:szCs w:val="24"/>
                <w:lang w:eastAsia="en-US" w:bidi="en-US"/>
              </w:rPr>
              <w:t>区</w:t>
            </w:r>
            <w:r>
              <w:rPr>
                <w:rFonts w:hint="eastAsia" w:ascii="黑体" w:hAnsi="黑体" w:eastAsia="黑体" w:cs="黑体"/>
                <w:b w:val="0"/>
                <w:bCs/>
                <w:color w:val="auto"/>
                <w:kern w:val="0"/>
                <w:sz w:val="24"/>
                <w:szCs w:val="22"/>
                <w:lang w:eastAsia="en-US" w:bidi="en-US"/>
              </w:rPr>
              <w:t>、县</w:t>
            </w:r>
            <w:r>
              <w:rPr>
                <w:rFonts w:hint="eastAsia" w:ascii="黑体" w:hAnsi="黑体" w:eastAsia="黑体" w:cs="黑体"/>
                <w:b w:val="0"/>
                <w:bCs/>
                <w:color w:val="auto"/>
                <w:kern w:val="0"/>
                <w:sz w:val="24"/>
                <w:szCs w:val="24"/>
                <w:lang w:eastAsia="en-US" w:bidi="en-US"/>
              </w:rPr>
              <w:t>（市）</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黑体" w:hAnsi="黑体" w:eastAsia="黑体" w:cs="黑体"/>
                <w:b w:val="0"/>
                <w:bCs/>
                <w:color w:val="auto"/>
                <w:kern w:val="0"/>
                <w:sz w:val="24"/>
                <w:szCs w:val="24"/>
                <w:lang w:eastAsia="en-US" w:bidi="en-US"/>
              </w:rPr>
            </w:pPr>
            <w:r>
              <w:rPr>
                <w:rFonts w:hint="eastAsia" w:ascii="黑体" w:hAnsi="黑体" w:eastAsia="黑体" w:cs="黑体"/>
                <w:b w:val="0"/>
                <w:bCs/>
                <w:color w:val="auto"/>
                <w:kern w:val="0"/>
                <w:sz w:val="24"/>
                <w:szCs w:val="24"/>
                <w:lang w:eastAsia="en-US" w:bidi="en-US"/>
              </w:rPr>
              <w:t>重点内容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上城区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b/>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以“全国重要的消费中心”为定位，全力打造“数智时尚消费第一区”和“宋韵文化传承展示中心”。加快推进上城区体育中心和白石国际贸易文化交流中心建设，进一步提升完善辖区会议型酒店国际性会议配套功能。通过湖滨步行街、清河坊步行街、十字金街等区内重要商圈街区赋能会展业商务消费内核，打造以商务会展为主，“会展+X”产业融合发展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拱墅区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完善和提升场馆设施建设和运营情况，推进会展场馆转型升级，拓展优质会展项目，保证运河中央公园和运河亚运公园如期竣工，做好亚运会赛场准备；积极打造线上展会新平台，促进线上线下融合发展，推动会展业数字化转型发展；探索创新融合模式；以老厂房的保护和新生为宗旨，进行空间重塑、功能再造、文化注入与商业创新,精心打造“武林之星”工业遗存带；积极打造成为全国范围内具有较高知名度的城市CBD会展样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西湖区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完善浙江世贸国际展览中心、云栖小镇国际会展中心等场馆配套设施，全面提升国际化服务水平；发挥浙江大学、西湖大学、之江实验室等创新大平台的示范引领作用，推动会展业与数字经济产业协同互动发展，精心构筑云栖大会、2050大会、空天信息大会等数字经济龙头品牌展会新高地；加快推进中国国际茶博会永久会址项目，聚焦绿色精致、三态融合，打造年轻国际的中国第一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滨江区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完善奥体中心配套设施，优化奥体赛会的平台作用，以亚运为契机，探索推进场馆建设与运营的无缝对接，打造集体育和博览与一体的多功能综合服务区；发挥白马湖国际会展中心会展产业磁吸效应，打造一流会展品牌，构建杭州会展业新地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萧山区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建设大会展新城、杭州国际博览中心二期；打造全国一流、世界知名的国际会展目的地，提升国际化水平、引进培育品牌会展、引进大型会展企业及高端人才、扶持市场主体发展、整合会展产业链等。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余杭区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加快推进未来科技城文化中心、西站枢纽综合体等场馆建设。持续放大亚运会带动效应，积极承接会议、研讨、论坛、展览等活动，争取更多国际会议、国际会展、国际赛事等落户。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临平区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积极发挥临平区作为杭州融入长三角一体化发展的桥头堡优势，以艺尚小镇为依托，引进一批有实力的会展企业，优化会展配套，着力发展时尚类新消费特色会展项目。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钱塘区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以中国会展第一股浙江米奥兰特商务会展股份有限公司为引领，集聚一批优秀的会展企业，充分发挥会展新城对钱塘区会展业发展的溢出效应，突出高端装备制造、智能网联汽车、新能源汽车等产业优势，着力发展专业会展项目，提升会展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富阳区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完善和提升会展业基础设施建设。亚运会后，规划在相关运动场馆的赛后利用中增设会展功能。在富春湾新城规划建设会展中心。完善酒店布局，提升服务水平。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临安区</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完善提升酒店、会议中心、旅游、体育等基础设施建设。打造坚果炒货、农村电商、乡村旅游、先进制造、医养等全国性论坛（活动）的目的地。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桐庐县</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紧紧围绕奋进桐庐“美丽新元年”工作目标，全面建设美丽幸福的社会主义现代化示范县，以举办亚运会马术赛事为契机，加快提升酒店、民宿等接待能力及质量，积极承办快递、全域旅游等相关产业会展。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淳安县</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依托千岛湖生态优势、产业优势、文化特质，以策划、引进、移植、定点、培育、升级为举措，建立以国际性会展品牌项目为目标、以国家级和区域性会展品牌项目为主体、以地方性会展品牌项目为补充的会展项目品牌体系，着力构建国际康美特色会议目的地、杭州国际会议会展承办地、企业会奖游首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after="200" w:afterAutospacing="0" w:line="320" w:lineRule="exact"/>
              <w:jc w:val="center"/>
              <w:textAlignment w:val="auto"/>
              <w:outlineLvl w:val="2"/>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建德市</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pacing w:after="200" w:afterAutospacing="0" w:line="320" w:lineRule="exact"/>
              <w:ind w:firstLine="448" w:firstLineChars="187"/>
              <w:jc w:val="lef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依托两条杭州市高品质步行街的打造，引进相关产业，提升人气，完善酒店、会议中心、旅游、体育等基础设施建设。着重打造“新安江梦幻夜地标”、“江清月近人”大型实景演绎，培育会展企业以及周边产业，推动我市会展行业发展。</w:t>
            </w:r>
          </w:p>
        </w:tc>
      </w:tr>
    </w:tbl>
    <w:p>
      <w:pPr>
        <w:keepNext w:val="0"/>
        <w:keepLines w:val="0"/>
        <w:pageBreakBefore w:val="0"/>
        <w:kinsoku/>
        <w:wordWrap/>
        <w:overflowPunct/>
        <w:topLinePunct w:val="0"/>
        <w:bidi w:val="0"/>
        <w:adjustRightInd/>
        <w:snapToGrid w:val="0"/>
        <w:spacing w:line="560" w:lineRule="exact"/>
        <w:ind w:firstLine="642" w:firstLineChars="200"/>
        <w:contextualSpacing/>
        <w:jc w:val="left"/>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4.完善会展配套设施</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大力推进现有会展中心及新建大型会展综合体的城市基础设施和配套设施建设，加快建设通达会展场馆的地铁、城市快速路、快速公交等交通服务设施。充分利用城市大脑推广和完善智慧停车系统，增加会展场馆内部及周边的停车（包括非机动车）空间，提升会展场馆的通达性和人员疏散能力。积极打造绿色场馆、智慧场馆，大力支持会展场馆供电系统、给水排水系统、网络和信息设备改造升级。推进场馆外部的公园式广场和绿地建设，完善会展场馆周边的餐饮、办公、住宿、娱乐、商场等配套服务设施，提升办展参展的服务体验。</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hint="eastAsia" w:ascii="楷体_GB2312" w:hAnsi="Calibri" w:eastAsia="楷体_GB2312" w:cs="Times New Roman"/>
          <w:color w:val="auto"/>
          <w:kern w:val="0"/>
          <w:sz w:val="32"/>
          <w:szCs w:val="32"/>
          <w:lang w:eastAsia="zh-CN" w:bidi="en-US"/>
        </w:rPr>
      </w:pPr>
      <w:bookmarkStart w:id="15" w:name="_Toc231615673"/>
      <w:r>
        <w:rPr>
          <w:rFonts w:hint="eastAsia" w:ascii="楷体_GB2312" w:hAnsi="Calibri" w:eastAsia="楷体_GB2312" w:cs="Times New Roman"/>
          <w:color w:val="auto"/>
          <w:kern w:val="0"/>
          <w:sz w:val="32"/>
          <w:szCs w:val="32"/>
          <w:lang w:eastAsia="zh-CN" w:bidi="en-US"/>
        </w:rPr>
        <w:t>（五）推进会展业数智化发展</w:t>
      </w:r>
      <w:bookmarkEnd w:id="15"/>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u w:val="none"/>
          <w:lang w:eastAsia="zh-CN" w:bidi="en-US"/>
        </w:rPr>
      </w:pPr>
      <w:r>
        <w:rPr>
          <w:rFonts w:hint="eastAsia" w:ascii="仿宋_GB2312" w:hAnsi="Calibri" w:eastAsia="仿宋_GB2312" w:cs="Times New Roman"/>
          <w:b/>
          <w:color w:val="auto"/>
          <w:kern w:val="0"/>
          <w:sz w:val="32"/>
          <w:szCs w:val="32"/>
          <w:u w:val="none"/>
          <w:lang w:eastAsia="zh-CN" w:bidi="en-US"/>
        </w:rPr>
        <w:t>1.大力发展数智会展</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outlineLvl w:val="2"/>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以头部会展企业为引领，运用云计算、大数据、物联网、5G、人工智能等信息和通信技术手段，收集、分析、整合会展行业的各类信息，对包括策展、组展、运营、设计和工程，以及公共安全、环保、配套服务及相关活动等在内的全产业链上的各种资源做出智能配置，对各种需求做出智能响应，将会议、展览、奖励旅游、节事等各类活动相关的线下信息和服务最大限度延伸到线上，为专业观众提供多样化的服务，实现会展行业的智慧管理和智慧运行。</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2.依托城市大脑建设会展应用场景</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依托杭州城市大脑，整合场馆、组展策展参展单位等信息资源，加强与交通、公安、</w:t>
      </w:r>
      <w:r>
        <w:rPr>
          <w:rFonts w:hint="eastAsia" w:ascii="仿宋_GB2312" w:hAnsi="Calibri" w:eastAsia="仿宋_GB2312" w:cs="Times New Roman"/>
          <w:color w:val="auto"/>
          <w:kern w:val="0"/>
          <w:sz w:val="32"/>
          <w:szCs w:val="32"/>
          <w:lang w:bidi="en-US"/>
        </w:rPr>
        <w:t>市场监管</w:t>
      </w:r>
      <w:r>
        <w:rPr>
          <w:rFonts w:hint="eastAsia" w:ascii="仿宋_GB2312" w:hAnsi="Calibri" w:eastAsia="仿宋_GB2312" w:cs="Times New Roman"/>
          <w:color w:val="auto"/>
          <w:kern w:val="0"/>
          <w:sz w:val="32"/>
          <w:szCs w:val="32"/>
          <w:lang w:eastAsia="zh-CN" w:bidi="en-US"/>
        </w:rPr>
        <w:t>、卫生</w:t>
      </w:r>
      <w:r>
        <w:rPr>
          <w:rFonts w:hint="eastAsia" w:ascii="仿宋_GB2312" w:hAnsi="Calibri" w:eastAsia="仿宋_GB2312" w:cs="Times New Roman"/>
          <w:color w:val="auto"/>
          <w:kern w:val="0"/>
          <w:sz w:val="32"/>
          <w:szCs w:val="32"/>
          <w:lang w:bidi="en-US"/>
        </w:rPr>
        <w:t>健康</w:t>
      </w:r>
      <w:r>
        <w:rPr>
          <w:rFonts w:hint="eastAsia" w:ascii="仿宋_GB2312" w:hAnsi="Calibri" w:eastAsia="仿宋_GB2312" w:cs="Times New Roman"/>
          <w:color w:val="auto"/>
          <w:kern w:val="0"/>
          <w:sz w:val="32"/>
          <w:szCs w:val="32"/>
          <w:lang w:eastAsia="zh-CN" w:bidi="en-US"/>
        </w:rPr>
        <w:t>、移动等相关职能部门及单位的信息共享和业务联系，利用先进的云计算大数据技术和人工智能技术，建设杭州会展应用场景，实现数据即时、在线、准确，全息掌握杭州会展情况。</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3.实现场馆服务设施的智能化</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以移动互联网技术、物联网技术、云计算技术为支撑，整合各种商流、物流、人流、资金流和信息流，实现停车导航、展会数据收集等功能，进行客流统计分析。建立专业的展会信息实时交流平台，获取会展信息、管理观展行程、提供展馆周边及馆内的地图导航服务、提供社交分享交流平台、提供移动电子商务功能、为展商提供精确营销服务等，提供新型的信息化服务。</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hint="eastAsia" w:ascii="楷体_GB2312" w:hAnsi="Calibri" w:eastAsia="楷体_GB2312" w:cs="Times New Roman"/>
          <w:color w:val="auto"/>
          <w:kern w:val="0"/>
          <w:sz w:val="32"/>
          <w:szCs w:val="32"/>
          <w:lang w:eastAsia="zh-CN" w:bidi="en-US"/>
        </w:rPr>
      </w:pPr>
      <w:bookmarkStart w:id="16" w:name="_Toc130875715"/>
      <w:r>
        <w:rPr>
          <w:rFonts w:hint="eastAsia" w:ascii="楷体_GB2312" w:hAnsi="Calibri" w:eastAsia="楷体_GB2312" w:cs="Times New Roman"/>
          <w:color w:val="auto"/>
          <w:kern w:val="0"/>
          <w:sz w:val="32"/>
          <w:szCs w:val="32"/>
          <w:lang w:eastAsia="zh-CN" w:bidi="en-US"/>
        </w:rPr>
        <w:t>（六）提升会展业发展软实力</w:t>
      </w:r>
      <w:bookmarkEnd w:id="16"/>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1.完善会展标准体系</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在现有会议标准的基础上，逐步建立健全杭州市会展业标准化体系，进一步出台和完善杭州市级会展业技术标准、管理标准、服务标准，以及疫情防控、安全管理、生态会展等系列专业标准，逐步形成以“服务市场、提升品质”为导向的多层级会展业标准体系；鼓励行业协会、会展企业、高校和科研机构等积极探索和创建行业标准，引导全行业向规范化、标准化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2.加强知识产权保护</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进一步完善会展知识产权保护机制。支持和鼓励会展企业通过专利申请、商标注册等方式，开发利用会展名称、标志、商誉等无形资产，提升对会展知识产权的创造、运用和保护水平；扩大会展知识产权基础资源共享范围，建立信息平台，服务会展企业；建立会展项目重点保护名单，严格落实同类展会错时举办的制度，杜绝恶性竞争。建立知识产权纠纷协调处理机制，维护原创主体的合法权益，推动会展产业健康有序发展。</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3.大力倡导绿色办展</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以</w:t>
      </w:r>
      <w:r>
        <w:rPr>
          <w:rFonts w:ascii="仿宋_GB2312" w:hAnsi="Calibri" w:eastAsia="仿宋_GB2312" w:cs="Times New Roman"/>
          <w:color w:val="auto"/>
          <w:kern w:val="0"/>
          <w:sz w:val="32"/>
          <w:szCs w:val="32"/>
          <w:lang w:eastAsia="zh-CN" w:bidi="en-US"/>
        </w:rPr>
        <w:t>碳达峰、碳中和</w:t>
      </w:r>
      <w:r>
        <w:rPr>
          <w:rFonts w:hint="eastAsia" w:ascii="仿宋_GB2312" w:hAnsi="Calibri" w:eastAsia="仿宋_GB2312" w:cs="Times New Roman"/>
          <w:color w:val="auto"/>
          <w:kern w:val="0"/>
          <w:sz w:val="32"/>
          <w:szCs w:val="32"/>
          <w:lang w:eastAsia="zh-CN" w:bidi="en-US"/>
        </w:rPr>
        <w:t>为</w:t>
      </w:r>
      <w:r>
        <w:rPr>
          <w:rFonts w:ascii="仿宋_GB2312" w:hAnsi="Calibri" w:eastAsia="仿宋_GB2312" w:cs="Times New Roman"/>
          <w:color w:val="auto"/>
          <w:kern w:val="0"/>
          <w:sz w:val="32"/>
          <w:szCs w:val="32"/>
          <w:lang w:eastAsia="zh-CN" w:bidi="en-US"/>
        </w:rPr>
        <w:t>战略目标</w:t>
      </w:r>
      <w:r>
        <w:rPr>
          <w:rFonts w:hint="eastAsia" w:ascii="仿宋_GB2312" w:hAnsi="Calibri" w:eastAsia="仿宋_GB2312" w:cs="Times New Roman"/>
          <w:color w:val="auto"/>
          <w:kern w:val="0"/>
          <w:sz w:val="32"/>
          <w:szCs w:val="32"/>
          <w:lang w:eastAsia="zh-CN" w:bidi="en-US"/>
        </w:rPr>
        <w:t>，积极</w:t>
      </w:r>
      <w:r>
        <w:rPr>
          <w:rFonts w:hint="eastAsia" w:ascii="仿宋_GB2312" w:hAnsi="Calibri" w:eastAsia="仿宋_GB2312" w:cs="Times New Roman"/>
          <w:color w:val="auto"/>
          <w:kern w:val="0"/>
          <w:sz w:val="32"/>
          <w:szCs w:val="32"/>
          <w:lang w:bidi="en-US"/>
        </w:rPr>
        <w:t>倡导节能、环保、绿色低碳办展办会，支持使用</w:t>
      </w:r>
      <w:r>
        <w:rPr>
          <w:rFonts w:hint="eastAsia" w:ascii="仿宋_GB2312" w:hAnsi="Calibri" w:eastAsia="仿宋_GB2312" w:cs="Times New Roman"/>
          <w:color w:val="auto"/>
          <w:kern w:val="0"/>
          <w:sz w:val="32"/>
          <w:szCs w:val="32"/>
          <w:lang w:eastAsia="zh-CN" w:bidi="en-US"/>
        </w:rPr>
        <w:t>可循环利用的工程材料</w:t>
      </w:r>
      <w:r>
        <w:rPr>
          <w:rFonts w:hint="eastAsia" w:ascii="仿宋_GB2312" w:hAnsi="Calibri" w:eastAsia="仿宋_GB2312" w:cs="Times New Roman"/>
          <w:color w:val="auto"/>
          <w:kern w:val="0"/>
          <w:sz w:val="32"/>
          <w:szCs w:val="32"/>
          <w:lang w:bidi="en-US"/>
        </w:rPr>
        <w:t>，在场馆设施、项目运营、展示设计、展台搭建、垃圾处理等环节应用节能环保技术</w:t>
      </w:r>
      <w:r>
        <w:rPr>
          <w:rFonts w:hint="eastAsia" w:ascii="仿宋_GB2312" w:hAnsi="Calibri" w:eastAsia="仿宋_GB2312" w:cs="Times New Roman"/>
          <w:color w:val="auto"/>
          <w:kern w:val="0"/>
          <w:sz w:val="32"/>
          <w:szCs w:val="32"/>
          <w:lang w:eastAsia="zh-CN" w:bidi="en-US"/>
        </w:rPr>
        <w:t>。鼓励会展产业与环保产业的交流、合作以及融合发展，加快推进绿色会展技术与创新体系的建立。建立绿色会展监管机制，研制符合本市实际的绿色会展评价指标体系，加强会展前中后的测评监管。</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4.构建会展诚信体系</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构建和完善会展行业诚信体系，依托杭州城市大脑等数字技术平台，建立覆盖会展场馆、主办机构、参展企业、主要配套服务企业的会展业信用体系；建立信用档案和违法违规信息披露制度，实现诚信信息的共享和公开，褒扬诚信，惩戒失信。</w:t>
      </w:r>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outlineLvl w:val="2"/>
        <w:rPr>
          <w:rFonts w:hint="eastAsia" w:ascii="仿宋_GB2312" w:hAnsi="Calibri" w:eastAsia="仿宋_GB2312" w:cs="Times New Roman"/>
          <w:b/>
          <w:color w:val="auto"/>
          <w:kern w:val="0"/>
          <w:sz w:val="32"/>
          <w:szCs w:val="32"/>
          <w:lang w:eastAsia="zh-CN" w:bidi="en-US"/>
        </w:rPr>
      </w:pPr>
      <w:r>
        <w:rPr>
          <w:rFonts w:hint="eastAsia" w:ascii="仿宋_GB2312" w:hAnsi="Calibri" w:eastAsia="仿宋_GB2312" w:cs="Times New Roman"/>
          <w:b/>
          <w:color w:val="auto"/>
          <w:kern w:val="0"/>
          <w:sz w:val="32"/>
          <w:szCs w:val="32"/>
          <w:lang w:eastAsia="zh-CN" w:bidi="en-US"/>
        </w:rPr>
        <w:t>5.强化会展安全体系</w:t>
      </w:r>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lang w:eastAsia="zh-CN" w:bidi="en-US"/>
        </w:rPr>
      </w:pPr>
      <w:r>
        <w:rPr>
          <w:rFonts w:hint="eastAsia" w:ascii="仿宋_GB2312" w:hAnsi="Calibri" w:eastAsia="仿宋_GB2312" w:cs="Times New Roman"/>
          <w:color w:val="auto"/>
          <w:kern w:val="0"/>
          <w:sz w:val="32"/>
          <w:szCs w:val="32"/>
          <w:lang w:eastAsia="zh-CN" w:bidi="en-US"/>
        </w:rPr>
        <w:t>建设和完善本市会展安全体系，重点推进疫情防控、消防安全、安全防范、突发事件和应急处理等方面的管理规范的建设和优化。严格落实会展安全保障主体责任，会展举办单位按照“谁举办、谁负责”的原则，建立会展安全工作机制，指定专人负责，明确责任分工，严格落实主体责任。按照《杭州市大型活动安全管理条例》以及行业内相关标准的规定，对日常工作和会展期间的安全性负责。疫情常态防控期间，会展主办机构、场馆和服务单位应建立疫情防控方案，安装体温测量、消毒等设施设备，并设置应急隔离点，落实各项防控要求。</w:t>
      </w:r>
    </w:p>
    <w:p>
      <w:pPr>
        <w:keepNext w:val="0"/>
        <w:keepLines w:val="0"/>
        <w:pageBreakBefore w:val="0"/>
        <w:numPr>
          <w:ilvl w:val="0"/>
          <w:numId w:val="1"/>
        </w:numPr>
        <w:kinsoku/>
        <w:wordWrap/>
        <w:overflowPunct/>
        <w:topLinePunct w:val="0"/>
        <w:bidi w:val="0"/>
        <w:adjustRightInd/>
        <w:snapToGrid w:val="0"/>
        <w:spacing w:line="560" w:lineRule="exact"/>
        <w:ind w:firstLine="664" w:firstLineChars="200"/>
        <w:contextualSpacing/>
        <w:textAlignment w:val="auto"/>
        <w:outlineLvl w:val="0"/>
        <w:rPr>
          <w:rFonts w:ascii="黑体" w:hAnsi="黑体" w:eastAsia="黑体" w:cs="Times New Roman"/>
          <w:b w:val="0"/>
          <w:bCs w:val="0"/>
          <w:color w:val="auto"/>
          <w:spacing w:val="6"/>
          <w:sz w:val="32"/>
          <w:szCs w:val="32"/>
          <w:lang w:val="en-US" w:eastAsia="zh-CN" w:bidi="en-US"/>
        </w:rPr>
      </w:pPr>
      <w:bookmarkStart w:id="17" w:name="_Toc1705817648"/>
      <w:r>
        <w:rPr>
          <w:rFonts w:ascii="黑体" w:hAnsi="黑体" w:eastAsia="黑体" w:cs="Times New Roman"/>
          <w:b w:val="0"/>
          <w:bCs w:val="0"/>
          <w:color w:val="auto"/>
          <w:spacing w:val="6"/>
          <w:sz w:val="32"/>
          <w:szCs w:val="32"/>
          <w:lang w:val="en-US" w:eastAsia="zh-CN" w:bidi="en-US"/>
        </w:rPr>
        <w:t>保障举措</w:t>
      </w:r>
      <w:bookmarkEnd w:id="17"/>
    </w:p>
    <w:p>
      <w:pPr>
        <w:keepNext w:val="0"/>
        <w:keepLines w:val="0"/>
        <w:pageBreakBefore w:val="0"/>
        <w:kinsoku/>
        <w:wordWrap/>
        <w:overflowPunct/>
        <w:topLinePunct w:val="0"/>
        <w:bidi w:val="0"/>
        <w:adjustRightInd/>
        <w:snapToGrid w:val="0"/>
        <w:spacing w:line="560" w:lineRule="exact"/>
        <w:ind w:firstLine="707" w:firstLineChars="221"/>
        <w:textAlignment w:val="auto"/>
        <w:outlineLvl w:val="1"/>
        <w:rPr>
          <w:rFonts w:hint="eastAsia" w:ascii="楷体_GB2312" w:hAnsi="Cambria" w:eastAsia="楷体_GB2312" w:cs="Times New Roman"/>
          <w:b w:val="0"/>
          <w:bCs/>
          <w:color w:val="auto"/>
          <w:sz w:val="32"/>
          <w:szCs w:val="32"/>
          <w:lang w:val="en-US" w:eastAsia="zh-CN" w:bidi="en-US"/>
        </w:rPr>
      </w:pPr>
      <w:bookmarkStart w:id="18" w:name="_Toc1375090651"/>
      <w:r>
        <w:rPr>
          <w:rFonts w:hint="eastAsia" w:ascii="楷体_GB2312" w:hAnsi="Cambria" w:eastAsia="楷体_GB2312" w:cs="Times New Roman"/>
          <w:b w:val="0"/>
          <w:bCs/>
          <w:color w:val="auto"/>
          <w:sz w:val="32"/>
          <w:szCs w:val="32"/>
          <w:lang w:val="en-US" w:eastAsia="zh-CN" w:bidi="en-US"/>
        </w:rPr>
        <w:t>（一）坚持党的全面领导</w:t>
      </w:r>
      <w:bookmarkEnd w:id="18"/>
    </w:p>
    <w:p>
      <w:pPr>
        <w:keepNext w:val="0"/>
        <w:keepLines w:val="0"/>
        <w:pageBreakBefore w:val="0"/>
        <w:kinsoku/>
        <w:wordWrap/>
        <w:overflowPunct/>
        <w:topLinePunct w:val="0"/>
        <w:bidi w:val="0"/>
        <w:adjustRightInd/>
        <w:snapToGrid w:val="0"/>
        <w:spacing w:line="560" w:lineRule="exact"/>
        <w:ind w:firstLine="666" w:firstLineChars="200"/>
        <w:jc w:val="left"/>
        <w:textAlignment w:val="auto"/>
        <w:rPr>
          <w:rFonts w:hint="default" w:ascii="Calibri" w:hAnsi="Calibri" w:eastAsia="仿宋_GB2312" w:cs="Times New Roman"/>
          <w:color w:val="auto"/>
          <w:spacing w:val="6"/>
          <w:kern w:val="0"/>
          <w:sz w:val="32"/>
          <w:szCs w:val="32"/>
          <w:lang w:val="en-US" w:eastAsia="zh-CN" w:bidi="en-US"/>
        </w:rPr>
      </w:pPr>
      <w:r>
        <w:rPr>
          <w:rFonts w:hint="eastAsia" w:ascii="Calibri" w:hAnsi="Calibri" w:eastAsia="仿宋_GB2312" w:cs="Times New Roman"/>
          <w:b/>
          <w:bCs/>
          <w:color w:val="auto"/>
          <w:spacing w:val="6"/>
          <w:kern w:val="0"/>
          <w:sz w:val="32"/>
          <w:szCs w:val="32"/>
          <w:lang w:val="en-US" w:eastAsia="zh-CN" w:bidi="en-US"/>
        </w:rPr>
        <w:t>加强党的全面领导。</w:t>
      </w:r>
      <w:r>
        <w:rPr>
          <w:rFonts w:hint="eastAsia" w:ascii="Calibri" w:hAnsi="Calibri" w:eastAsia="仿宋_GB2312" w:cs="Times New Roman"/>
          <w:color w:val="auto"/>
          <w:spacing w:val="6"/>
          <w:kern w:val="0"/>
          <w:sz w:val="32"/>
          <w:szCs w:val="32"/>
          <w:lang w:val="en-US" w:eastAsia="zh-CN" w:bidi="en-US"/>
        </w:rPr>
        <w:t>深入学习贯彻习近平新时代中国特色社会主义思想，增强“四个意识”、坚定“四个自信”、做到“两个维护”，不断提高政治判断力、政治领悟力、政治执行力，把党的领导贯穿到规划实施的各领域和全过程，确保党中央、浙江省委省政府、杭州市委市政府重大决策部署贯彻落实。</w:t>
      </w:r>
      <w:r>
        <w:rPr>
          <w:rFonts w:hint="eastAsia" w:ascii="Calibri" w:hAnsi="Calibri" w:eastAsia="仿宋_GB2312" w:cs="Times New Roman"/>
          <w:b/>
          <w:bCs/>
          <w:color w:val="auto"/>
          <w:spacing w:val="6"/>
          <w:kern w:val="0"/>
          <w:sz w:val="32"/>
          <w:szCs w:val="32"/>
          <w:lang w:val="en-US" w:eastAsia="zh-CN" w:bidi="en-US"/>
        </w:rPr>
        <w:t>发挥党建引领作用。</w:t>
      </w:r>
      <w:r>
        <w:rPr>
          <w:rFonts w:hint="eastAsia" w:ascii="Calibri" w:hAnsi="Calibri" w:eastAsia="仿宋_GB2312" w:cs="Times New Roman"/>
          <w:color w:val="auto"/>
          <w:spacing w:val="6"/>
          <w:kern w:val="0"/>
          <w:sz w:val="32"/>
          <w:szCs w:val="32"/>
          <w:lang w:val="en-US" w:eastAsia="zh-CN" w:bidi="en-US"/>
        </w:rPr>
        <w:t>充分发挥各级党组织在会展业“十四五”规划实施中的领导作用，确保以高质量党建引领推动会展业高质量发展，为“十四五”规划的落实提供坚强政治保证和组织保证。</w:t>
      </w:r>
    </w:p>
    <w:p>
      <w:pPr>
        <w:keepNext w:val="0"/>
        <w:keepLines w:val="0"/>
        <w:pageBreakBefore w:val="0"/>
        <w:kinsoku/>
        <w:wordWrap/>
        <w:overflowPunct/>
        <w:topLinePunct w:val="0"/>
        <w:bidi w:val="0"/>
        <w:adjustRightInd/>
        <w:snapToGrid w:val="0"/>
        <w:spacing w:line="560" w:lineRule="exact"/>
        <w:ind w:firstLine="707" w:firstLineChars="221"/>
        <w:textAlignment w:val="auto"/>
        <w:outlineLvl w:val="1"/>
        <w:rPr>
          <w:rFonts w:hint="eastAsia" w:ascii="楷体_GB2312" w:hAnsi="Cambria" w:eastAsia="楷体_GB2312" w:cs="Times New Roman"/>
          <w:b w:val="0"/>
          <w:bCs/>
          <w:color w:val="auto"/>
          <w:sz w:val="32"/>
          <w:szCs w:val="32"/>
          <w:lang w:val="en-US" w:eastAsia="zh-CN" w:bidi="en-US"/>
        </w:rPr>
      </w:pPr>
      <w:bookmarkStart w:id="19" w:name="_Toc730738796"/>
      <w:r>
        <w:rPr>
          <w:rFonts w:ascii="楷体_GB2312" w:hAnsi="Cambria" w:eastAsia="楷体_GB2312" w:cs="Times New Roman"/>
          <w:b w:val="0"/>
          <w:bCs/>
          <w:color w:val="auto"/>
          <w:sz w:val="32"/>
          <w:szCs w:val="32"/>
          <w:lang w:val="en-US" w:eastAsia="zh-CN" w:bidi="en-US"/>
        </w:rPr>
        <w:t>（</w:t>
      </w:r>
      <w:r>
        <w:rPr>
          <w:rFonts w:hint="eastAsia" w:ascii="楷体_GB2312" w:hAnsi="Cambria" w:eastAsia="楷体_GB2312" w:cs="Times New Roman"/>
          <w:b w:val="0"/>
          <w:bCs/>
          <w:color w:val="auto"/>
          <w:sz w:val="32"/>
          <w:szCs w:val="32"/>
          <w:lang w:val="en-US" w:eastAsia="zh-CN" w:bidi="en-US"/>
        </w:rPr>
        <w:t>二</w:t>
      </w:r>
      <w:r>
        <w:rPr>
          <w:rFonts w:ascii="楷体_GB2312" w:hAnsi="Cambria" w:eastAsia="楷体_GB2312" w:cs="Times New Roman"/>
          <w:b w:val="0"/>
          <w:bCs/>
          <w:color w:val="auto"/>
          <w:sz w:val="32"/>
          <w:szCs w:val="32"/>
          <w:lang w:val="en-US" w:eastAsia="zh-CN" w:bidi="en-US"/>
        </w:rPr>
        <w:t>）加强体制机制保障</w:t>
      </w:r>
      <w:bookmarkEnd w:id="19"/>
    </w:p>
    <w:p>
      <w:pPr>
        <w:keepNext w:val="0"/>
        <w:keepLines w:val="0"/>
        <w:pageBreakBefore w:val="0"/>
        <w:kinsoku/>
        <w:wordWrap/>
        <w:overflowPunct/>
        <w:topLinePunct w:val="0"/>
        <w:bidi w:val="0"/>
        <w:adjustRightInd/>
        <w:snapToGrid w:val="0"/>
        <w:spacing w:line="560" w:lineRule="exact"/>
        <w:ind w:firstLine="666" w:firstLineChars="200"/>
        <w:jc w:val="left"/>
        <w:textAlignment w:val="auto"/>
        <w:rPr>
          <w:rFonts w:hint="eastAsia" w:ascii="Calibri" w:hAnsi="Calibri" w:eastAsia="仿宋_GB2312" w:cs="Times New Roman"/>
          <w:color w:val="auto"/>
          <w:spacing w:val="6"/>
          <w:kern w:val="0"/>
          <w:sz w:val="32"/>
          <w:szCs w:val="32"/>
          <w:lang w:eastAsia="zh-CN" w:bidi="en-US"/>
        </w:rPr>
      </w:pPr>
      <w:r>
        <w:rPr>
          <w:rFonts w:hint="eastAsia" w:ascii="Calibri" w:hAnsi="Calibri" w:eastAsia="仿宋_GB2312" w:cs="Times New Roman"/>
          <w:b/>
          <w:color w:val="auto"/>
          <w:spacing w:val="6"/>
          <w:kern w:val="0"/>
          <w:sz w:val="32"/>
          <w:szCs w:val="32"/>
          <w:lang w:eastAsia="zh-CN" w:bidi="en-US"/>
        </w:rPr>
        <w:t>市会展主管部门</w:t>
      </w:r>
      <w:r>
        <w:rPr>
          <w:rFonts w:ascii="Calibri" w:hAnsi="Calibri" w:eastAsia="仿宋_GB2312" w:cs="Times New Roman"/>
          <w:color w:val="auto"/>
          <w:spacing w:val="6"/>
          <w:kern w:val="0"/>
          <w:sz w:val="32"/>
          <w:szCs w:val="32"/>
          <w:lang w:eastAsia="zh-CN" w:bidi="en-US"/>
        </w:rPr>
        <w:t>负责全市会展业的统筹规划、</w:t>
      </w:r>
      <w:r>
        <w:rPr>
          <w:rFonts w:hint="eastAsia" w:ascii="Calibri" w:hAnsi="Calibri" w:eastAsia="仿宋_GB2312" w:cs="Times New Roman"/>
          <w:color w:val="auto"/>
          <w:spacing w:val="6"/>
          <w:kern w:val="0"/>
          <w:sz w:val="32"/>
          <w:szCs w:val="32"/>
          <w:lang w:eastAsia="zh-CN" w:bidi="en-US"/>
        </w:rPr>
        <w:t>综合协调、管理服务和引导促进工作。承担以下职责：宣传和贯彻执行有关会展业的法律、法规以及政策；组织起草会展业发展专项规划和政策措施，报市政府批准后实施；组织宣传推介国际会议目的地、国际赛事举办地、本市会展企业和品牌会展；会同市有关部门代表市政府申办、引进国际会议、大型展览活动和国际赛事；定期发布会展活动指导目录，明确本市会展业发展重点和引导方向；会同市财政部门管理使用会展业发展扶持资金；对在本市举办的重大会展活动进行备案和服务；协助会展举办单位办理相关审批手续，协调政府相关部门开展会展活动的服务和管理工作；建立投诉处理制度，及时会同相关部门处理涉及会展活动的投诉；其他促进会展业发展及会展活动的服务管理工作。公安、财政、人力社保、交通运输、文广旅游、卫生健康、应急管理、外事、市场监管、体育、城市管理、海关等部门，按照各自职责做好会展业相关服务和管理工作。</w:t>
      </w:r>
      <w:r>
        <w:rPr>
          <w:rFonts w:hint="eastAsia" w:ascii="Calibri" w:hAnsi="Calibri" w:eastAsia="仿宋_GB2312" w:cs="Times New Roman"/>
          <w:b/>
          <w:color w:val="auto"/>
          <w:kern w:val="0"/>
          <w:sz w:val="32"/>
          <w:szCs w:val="32"/>
          <w:lang w:eastAsia="zh-CN" w:bidi="en-US"/>
        </w:rPr>
        <w:t>区、</w:t>
      </w:r>
      <w:r>
        <w:rPr>
          <w:rFonts w:ascii="Calibri" w:hAnsi="Calibri" w:eastAsia="仿宋_GB2312" w:cs="Times New Roman"/>
          <w:b/>
          <w:color w:val="auto"/>
          <w:spacing w:val="6"/>
          <w:kern w:val="0"/>
          <w:sz w:val="32"/>
          <w:szCs w:val="32"/>
          <w:lang w:eastAsia="zh-CN" w:bidi="en-US"/>
        </w:rPr>
        <w:t>县（市）</w:t>
      </w:r>
      <w:r>
        <w:rPr>
          <w:rFonts w:hint="eastAsia" w:ascii="Calibri" w:hAnsi="Calibri" w:eastAsia="仿宋_GB2312" w:cs="Times New Roman"/>
          <w:b/>
          <w:color w:val="auto"/>
          <w:spacing w:val="6"/>
          <w:kern w:val="0"/>
          <w:sz w:val="32"/>
          <w:szCs w:val="32"/>
          <w:lang w:eastAsia="zh-CN" w:bidi="en-US"/>
        </w:rPr>
        <w:t>会展职能部门</w:t>
      </w:r>
      <w:r>
        <w:rPr>
          <w:rFonts w:ascii="Calibri" w:hAnsi="Calibri" w:eastAsia="仿宋_GB2312" w:cs="Times New Roman"/>
          <w:color w:val="auto"/>
          <w:spacing w:val="6"/>
          <w:kern w:val="0"/>
          <w:sz w:val="32"/>
          <w:szCs w:val="32"/>
          <w:lang w:eastAsia="zh-CN" w:bidi="en-US"/>
        </w:rPr>
        <w:t>负责本区域会展活动的服务和管理工作</w:t>
      </w:r>
      <w:r>
        <w:rPr>
          <w:rFonts w:hint="eastAsia" w:ascii="Calibri" w:hAnsi="Calibri" w:eastAsia="仿宋_GB2312" w:cs="Times New Roman"/>
          <w:color w:val="auto"/>
          <w:spacing w:val="6"/>
          <w:kern w:val="0"/>
          <w:sz w:val="32"/>
          <w:szCs w:val="32"/>
          <w:lang w:eastAsia="zh-CN" w:bidi="en-US"/>
        </w:rPr>
        <w:t>，并制定相应会展发展政策。</w:t>
      </w:r>
      <w:r>
        <w:rPr>
          <w:rFonts w:hint="eastAsia" w:ascii="Calibri" w:hAnsi="Calibri" w:eastAsia="仿宋_GB2312" w:cs="Times New Roman"/>
          <w:b/>
          <w:color w:val="auto"/>
          <w:kern w:val="0"/>
          <w:sz w:val="32"/>
          <w:szCs w:val="32"/>
          <w:lang w:eastAsia="zh-CN" w:bidi="en-US"/>
        </w:rPr>
        <w:t>市会议展览业</w:t>
      </w:r>
      <w:r>
        <w:rPr>
          <w:rFonts w:ascii="Calibri" w:hAnsi="Calibri" w:eastAsia="仿宋_GB2312" w:cs="Times New Roman"/>
          <w:b/>
          <w:color w:val="auto"/>
          <w:kern w:val="0"/>
          <w:sz w:val="32"/>
          <w:szCs w:val="32"/>
          <w:lang w:eastAsia="zh-CN" w:bidi="en-US"/>
        </w:rPr>
        <w:t>协会</w:t>
      </w:r>
      <w:r>
        <w:rPr>
          <w:rFonts w:hint="eastAsia" w:ascii="Calibri" w:hAnsi="Calibri" w:eastAsia="仿宋_GB2312" w:cs="Times New Roman"/>
          <w:color w:val="auto"/>
          <w:spacing w:val="6"/>
          <w:kern w:val="0"/>
          <w:sz w:val="32"/>
          <w:szCs w:val="32"/>
          <w:lang w:eastAsia="zh-CN" w:bidi="en-US"/>
        </w:rPr>
        <w:t>在会展业主管部门指导下发挥积极作用，提高行业自律水平，主要做好以下工作：制定行业服务规范，引导会员规范经营；建立会展业评估体系和诚信体系；建立会展业统计监测分析体系，统计分析会展业数据，研究会展业发展动态；建立会展业信息发布平台，及时发布有关信息；开展会展业人才培训；协助引进品牌会展企业和会展项目；协助举办会展活动，协调处理会展活动投诉，维护会展企业合法权益；其他促进会展业发展的工作。</w:t>
      </w:r>
    </w:p>
    <w:p>
      <w:pPr>
        <w:keepNext w:val="0"/>
        <w:keepLines w:val="0"/>
        <w:pageBreakBefore w:val="0"/>
        <w:kinsoku/>
        <w:wordWrap/>
        <w:overflowPunct/>
        <w:topLinePunct w:val="0"/>
        <w:bidi w:val="0"/>
        <w:adjustRightInd/>
        <w:snapToGrid w:val="0"/>
        <w:spacing w:line="560" w:lineRule="exact"/>
        <w:ind w:firstLine="563" w:firstLineChars="176"/>
        <w:textAlignment w:val="auto"/>
        <w:outlineLvl w:val="1"/>
        <w:rPr>
          <w:rFonts w:hint="eastAsia" w:ascii="Calibri" w:hAnsi="Calibri" w:eastAsia="仿宋_GB2312" w:cs="Times New Roman"/>
          <w:color w:val="auto"/>
          <w:spacing w:val="6"/>
          <w:kern w:val="0"/>
          <w:sz w:val="32"/>
          <w:szCs w:val="32"/>
          <w:lang w:val="en-US" w:eastAsia="zh-CN" w:bidi="en-US"/>
        </w:rPr>
      </w:pPr>
      <w:bookmarkStart w:id="20" w:name="_Toc1458654354"/>
      <w:r>
        <w:rPr>
          <w:rFonts w:ascii="楷体_GB2312" w:hAnsi="Cambria" w:eastAsia="楷体_GB2312" w:cs="Times New Roman"/>
          <w:b w:val="0"/>
          <w:bCs/>
          <w:color w:val="auto"/>
          <w:sz w:val="32"/>
          <w:szCs w:val="32"/>
          <w:lang w:val="en-US" w:eastAsia="zh-CN" w:bidi="en-US"/>
        </w:rPr>
        <w:t>（</w:t>
      </w:r>
      <w:r>
        <w:rPr>
          <w:rFonts w:hint="eastAsia" w:ascii="楷体_GB2312" w:hAnsi="Cambria" w:eastAsia="楷体_GB2312" w:cs="Times New Roman"/>
          <w:b w:val="0"/>
          <w:bCs/>
          <w:color w:val="auto"/>
          <w:sz w:val="32"/>
          <w:szCs w:val="32"/>
          <w:lang w:val="en-US" w:eastAsia="zh-CN" w:bidi="en-US"/>
        </w:rPr>
        <w:t>三</w:t>
      </w:r>
      <w:r>
        <w:rPr>
          <w:rFonts w:ascii="楷体_GB2312" w:hAnsi="Cambria" w:eastAsia="楷体_GB2312" w:cs="Times New Roman"/>
          <w:b w:val="0"/>
          <w:bCs/>
          <w:color w:val="auto"/>
          <w:sz w:val="32"/>
          <w:szCs w:val="32"/>
          <w:lang w:val="en-US" w:eastAsia="zh-CN" w:bidi="en-US"/>
        </w:rPr>
        <w:t>）</w:t>
      </w:r>
      <w:r>
        <w:rPr>
          <w:rFonts w:hint="eastAsia" w:ascii="楷体_GB2312" w:hAnsi="Cambria" w:eastAsia="楷体_GB2312" w:cs="Times New Roman"/>
          <w:b w:val="0"/>
          <w:bCs/>
          <w:color w:val="auto"/>
          <w:sz w:val="32"/>
          <w:szCs w:val="32"/>
          <w:lang w:val="en-US" w:eastAsia="zh-CN" w:bidi="en-US"/>
        </w:rPr>
        <w:t>加大政策支持力度</w:t>
      </w:r>
      <w:bookmarkEnd w:id="20"/>
    </w:p>
    <w:p>
      <w:pPr>
        <w:keepNext w:val="0"/>
        <w:keepLines w:val="0"/>
        <w:pageBreakBefore w:val="0"/>
        <w:kinsoku/>
        <w:wordWrap/>
        <w:overflowPunct/>
        <w:topLinePunct w:val="0"/>
        <w:bidi w:val="0"/>
        <w:adjustRightInd/>
        <w:snapToGrid w:val="0"/>
        <w:spacing w:line="560" w:lineRule="exact"/>
        <w:ind w:firstLine="565" w:firstLineChars="176"/>
        <w:jc w:val="left"/>
        <w:textAlignment w:val="auto"/>
        <w:rPr>
          <w:rFonts w:ascii="Calibri" w:hAnsi="Calibri" w:eastAsia="仿宋_GB2312" w:cs="Times New Roman"/>
          <w:color w:val="auto"/>
          <w:kern w:val="0"/>
          <w:sz w:val="32"/>
          <w:szCs w:val="32"/>
          <w:u w:val="none"/>
          <w:lang w:eastAsia="zh-CN" w:bidi="en-US"/>
        </w:rPr>
      </w:pPr>
      <w:r>
        <w:rPr>
          <w:rFonts w:hint="eastAsia" w:ascii="Calibri" w:hAnsi="Calibri" w:eastAsia="仿宋_GB2312" w:cs="Times New Roman"/>
          <w:b/>
          <w:color w:val="auto"/>
          <w:kern w:val="0"/>
          <w:sz w:val="32"/>
          <w:szCs w:val="32"/>
          <w:lang w:eastAsia="zh-CN" w:bidi="en-US"/>
        </w:rPr>
        <w:t>完善会展业扶持资金管理办法。</w:t>
      </w:r>
      <w:r>
        <w:rPr>
          <w:rFonts w:ascii="Calibri" w:hAnsi="Calibri" w:eastAsia="仿宋_GB2312" w:cs="Times New Roman"/>
          <w:color w:val="auto"/>
          <w:spacing w:val="6"/>
          <w:kern w:val="0"/>
          <w:sz w:val="32"/>
          <w:szCs w:val="32"/>
          <w:u w:val="none"/>
          <w:lang w:eastAsia="zh-CN" w:bidi="en-US"/>
        </w:rPr>
        <w:t>加大会展业发展专项资金扶持力度</w:t>
      </w:r>
      <w:r>
        <w:rPr>
          <w:rFonts w:ascii="Calibri" w:hAnsi="Calibri" w:eastAsia="仿宋_GB2312" w:cs="Times New Roman"/>
          <w:color w:val="auto"/>
          <w:spacing w:val="6"/>
          <w:kern w:val="0"/>
          <w:sz w:val="32"/>
          <w:szCs w:val="32"/>
          <w:lang w:eastAsia="zh-CN" w:bidi="en-US"/>
        </w:rPr>
        <w:t>，</w:t>
      </w:r>
      <w:r>
        <w:rPr>
          <w:rFonts w:hint="eastAsia" w:ascii="Calibri" w:hAnsi="Calibri" w:eastAsia="仿宋_GB2312" w:cs="Times New Roman"/>
          <w:color w:val="auto"/>
          <w:spacing w:val="6"/>
          <w:kern w:val="0"/>
          <w:sz w:val="32"/>
          <w:szCs w:val="32"/>
          <w:lang w:eastAsia="zh-CN" w:bidi="en-US"/>
        </w:rPr>
        <w:t>完善会展专项资金管理办法</w:t>
      </w:r>
      <w:r>
        <w:rPr>
          <w:rFonts w:ascii="Calibri" w:hAnsi="Calibri" w:eastAsia="仿宋_GB2312" w:cs="Times New Roman"/>
          <w:color w:val="auto"/>
          <w:spacing w:val="6"/>
          <w:kern w:val="0"/>
          <w:sz w:val="32"/>
          <w:szCs w:val="32"/>
          <w:lang w:eastAsia="zh-CN" w:bidi="en-US"/>
        </w:rPr>
        <w:t>，</w:t>
      </w:r>
      <w:r>
        <w:rPr>
          <w:rFonts w:hint="eastAsia" w:ascii="Calibri" w:hAnsi="Calibri" w:eastAsia="仿宋_GB2312" w:cs="Times New Roman"/>
          <w:color w:val="auto"/>
          <w:spacing w:val="6"/>
          <w:kern w:val="0"/>
          <w:sz w:val="32"/>
          <w:szCs w:val="32"/>
          <w:lang w:eastAsia="zh-CN" w:bidi="en-US"/>
        </w:rPr>
        <w:t>加快提升资金绩效，</w:t>
      </w:r>
      <w:r>
        <w:rPr>
          <w:rFonts w:ascii="Calibri" w:hAnsi="Calibri" w:eastAsia="仿宋_GB2312" w:cs="Times New Roman"/>
          <w:color w:val="auto"/>
          <w:spacing w:val="6"/>
          <w:kern w:val="0"/>
          <w:sz w:val="32"/>
          <w:szCs w:val="32"/>
          <w:lang w:eastAsia="zh-CN" w:bidi="en-US"/>
        </w:rPr>
        <w:t>更好</w:t>
      </w:r>
      <w:r>
        <w:rPr>
          <w:rFonts w:hint="eastAsia" w:ascii="Calibri" w:hAnsi="Calibri" w:eastAsia="仿宋_GB2312" w:cs="Times New Roman"/>
          <w:color w:val="auto"/>
          <w:spacing w:val="6"/>
          <w:kern w:val="0"/>
          <w:sz w:val="32"/>
          <w:szCs w:val="32"/>
          <w:lang w:eastAsia="zh-CN" w:bidi="en-US"/>
        </w:rPr>
        <w:t>地</w:t>
      </w:r>
      <w:r>
        <w:rPr>
          <w:rFonts w:ascii="Calibri" w:hAnsi="Calibri" w:eastAsia="仿宋_GB2312" w:cs="Times New Roman"/>
          <w:color w:val="auto"/>
          <w:spacing w:val="6"/>
          <w:kern w:val="0"/>
          <w:sz w:val="32"/>
          <w:szCs w:val="32"/>
          <w:lang w:eastAsia="zh-CN" w:bidi="en-US"/>
        </w:rPr>
        <w:t>发挥财政</w:t>
      </w:r>
      <w:r>
        <w:rPr>
          <w:rFonts w:hint="eastAsia" w:ascii="Calibri" w:hAnsi="Calibri" w:eastAsia="仿宋_GB2312" w:cs="Times New Roman"/>
          <w:color w:val="auto"/>
          <w:spacing w:val="6"/>
          <w:kern w:val="0"/>
          <w:sz w:val="32"/>
          <w:szCs w:val="32"/>
          <w:lang w:eastAsia="zh-CN" w:bidi="en-US"/>
        </w:rPr>
        <w:t>政策</w:t>
      </w:r>
      <w:r>
        <w:rPr>
          <w:rFonts w:ascii="Calibri" w:hAnsi="Calibri" w:eastAsia="仿宋_GB2312" w:cs="Times New Roman"/>
          <w:color w:val="auto"/>
          <w:spacing w:val="6"/>
          <w:kern w:val="0"/>
          <w:sz w:val="32"/>
          <w:szCs w:val="32"/>
          <w:lang w:eastAsia="zh-CN" w:bidi="en-US"/>
        </w:rPr>
        <w:t>资金引导和激励作用。鼓励和培育会展龙头企业主导成立会展业产业基金、会展银行等，积极拓展产业发展的融资渠道。鼓励金融、担保机构加大对小微会展企业的</w:t>
      </w:r>
      <w:r>
        <w:rPr>
          <w:rFonts w:hint="eastAsia" w:ascii="Calibri" w:hAnsi="Calibri" w:eastAsia="仿宋_GB2312" w:cs="Times New Roman"/>
          <w:color w:val="auto"/>
          <w:spacing w:val="6"/>
          <w:kern w:val="0"/>
          <w:sz w:val="32"/>
          <w:szCs w:val="32"/>
          <w:lang w:eastAsia="zh-CN" w:bidi="en-US"/>
        </w:rPr>
        <w:t>信贷、担保支持力度</w:t>
      </w:r>
      <w:r>
        <w:rPr>
          <w:rFonts w:ascii="Calibri" w:hAnsi="Calibri" w:eastAsia="仿宋_GB2312" w:cs="Times New Roman"/>
          <w:color w:val="auto"/>
          <w:spacing w:val="6"/>
          <w:kern w:val="0"/>
          <w:sz w:val="32"/>
          <w:szCs w:val="32"/>
          <w:lang w:eastAsia="zh-CN" w:bidi="en-US"/>
        </w:rPr>
        <w:t>，开发针对会展业的保险服务产品。</w:t>
      </w:r>
      <w:r>
        <w:rPr>
          <w:rFonts w:ascii="Calibri" w:hAnsi="Calibri" w:eastAsia="仿宋_GB2312" w:cs="Times New Roman"/>
          <w:b/>
          <w:color w:val="auto"/>
          <w:kern w:val="0"/>
          <w:sz w:val="32"/>
          <w:szCs w:val="32"/>
          <w:u w:val="none"/>
          <w:lang w:eastAsia="zh-CN" w:bidi="en-US"/>
        </w:rPr>
        <w:t>落实税收扶持措施</w:t>
      </w:r>
      <w:r>
        <w:rPr>
          <w:rFonts w:hint="eastAsia" w:ascii="Calibri" w:hAnsi="Calibri" w:eastAsia="仿宋_GB2312" w:cs="Times New Roman"/>
          <w:b/>
          <w:color w:val="auto"/>
          <w:kern w:val="0"/>
          <w:sz w:val="32"/>
          <w:szCs w:val="32"/>
          <w:u w:val="none"/>
          <w:lang w:eastAsia="zh-CN" w:bidi="en-US"/>
        </w:rPr>
        <w:t>。</w:t>
      </w:r>
      <w:r>
        <w:rPr>
          <w:rFonts w:hint="eastAsia" w:ascii="Calibri" w:hAnsi="Calibri" w:eastAsia="仿宋_GB2312" w:cs="Times New Roman"/>
          <w:color w:val="auto"/>
          <w:spacing w:val="6"/>
          <w:kern w:val="0"/>
          <w:sz w:val="32"/>
          <w:szCs w:val="32"/>
          <w:u w:val="none"/>
          <w:lang w:eastAsia="zh-CN" w:bidi="en-US"/>
        </w:rPr>
        <w:t>充分认识</w:t>
      </w:r>
      <w:r>
        <w:rPr>
          <w:rFonts w:ascii="Calibri" w:hAnsi="Calibri" w:eastAsia="仿宋_GB2312" w:cs="Times New Roman"/>
          <w:color w:val="auto"/>
          <w:spacing w:val="6"/>
          <w:kern w:val="0"/>
          <w:sz w:val="32"/>
          <w:szCs w:val="32"/>
          <w:u w:val="none"/>
          <w:lang w:eastAsia="zh-CN" w:bidi="en-US"/>
        </w:rPr>
        <w:t>新冠</w:t>
      </w:r>
      <w:r>
        <w:rPr>
          <w:rFonts w:hint="eastAsia" w:ascii="Calibri" w:hAnsi="Calibri" w:eastAsia="仿宋_GB2312" w:cs="Times New Roman"/>
          <w:color w:val="auto"/>
          <w:spacing w:val="6"/>
          <w:kern w:val="0"/>
          <w:sz w:val="32"/>
          <w:szCs w:val="32"/>
          <w:u w:val="none"/>
          <w:lang w:eastAsia="zh-CN" w:bidi="en-US"/>
        </w:rPr>
        <w:t>肺炎疫情对</w:t>
      </w:r>
      <w:r>
        <w:rPr>
          <w:rFonts w:ascii="Calibri" w:hAnsi="Calibri" w:eastAsia="仿宋_GB2312" w:cs="Times New Roman"/>
          <w:color w:val="auto"/>
          <w:spacing w:val="6"/>
          <w:kern w:val="0"/>
          <w:sz w:val="32"/>
          <w:szCs w:val="32"/>
          <w:u w:val="none"/>
          <w:lang w:eastAsia="zh-CN" w:bidi="en-US"/>
        </w:rPr>
        <w:t>会展业</w:t>
      </w:r>
      <w:r>
        <w:rPr>
          <w:rFonts w:hint="eastAsia" w:ascii="Calibri" w:hAnsi="Calibri" w:eastAsia="仿宋_GB2312" w:cs="Times New Roman"/>
          <w:color w:val="auto"/>
          <w:spacing w:val="6"/>
          <w:kern w:val="0"/>
          <w:sz w:val="32"/>
          <w:szCs w:val="32"/>
          <w:u w:val="none"/>
          <w:lang w:eastAsia="zh-CN" w:bidi="en-US"/>
        </w:rPr>
        <w:t>的</w:t>
      </w:r>
      <w:r>
        <w:rPr>
          <w:rFonts w:ascii="Calibri" w:hAnsi="Calibri" w:eastAsia="仿宋_GB2312" w:cs="Times New Roman"/>
          <w:color w:val="auto"/>
          <w:spacing w:val="6"/>
          <w:kern w:val="0"/>
          <w:sz w:val="32"/>
          <w:szCs w:val="32"/>
          <w:u w:val="none"/>
          <w:lang w:eastAsia="zh-CN" w:bidi="en-US"/>
        </w:rPr>
        <w:t>严重</w:t>
      </w:r>
      <w:r>
        <w:rPr>
          <w:rFonts w:hint="eastAsia" w:ascii="Calibri" w:hAnsi="Calibri" w:eastAsia="仿宋_GB2312" w:cs="Times New Roman"/>
          <w:color w:val="auto"/>
          <w:spacing w:val="6"/>
          <w:kern w:val="0"/>
          <w:sz w:val="32"/>
          <w:szCs w:val="32"/>
          <w:u w:val="none"/>
          <w:lang w:eastAsia="zh-CN" w:bidi="en-US"/>
        </w:rPr>
        <w:t>冲击</w:t>
      </w:r>
      <w:r>
        <w:rPr>
          <w:rFonts w:ascii="Calibri" w:hAnsi="Calibri" w:eastAsia="仿宋_GB2312" w:cs="Times New Roman"/>
          <w:color w:val="auto"/>
          <w:spacing w:val="6"/>
          <w:kern w:val="0"/>
          <w:sz w:val="32"/>
          <w:szCs w:val="32"/>
          <w:u w:val="none"/>
          <w:lang w:eastAsia="zh-CN" w:bidi="en-US"/>
        </w:rPr>
        <w:t>，市级会展主管部门联合</w:t>
      </w:r>
      <w:r>
        <w:rPr>
          <w:rFonts w:hint="eastAsia" w:ascii="Calibri" w:hAnsi="Calibri" w:eastAsia="仿宋_GB2312" w:cs="Times New Roman"/>
          <w:color w:val="auto"/>
          <w:spacing w:val="6"/>
          <w:kern w:val="0"/>
          <w:sz w:val="32"/>
          <w:szCs w:val="32"/>
          <w:u w:val="none"/>
          <w:lang w:eastAsia="zh-CN" w:bidi="en-US"/>
        </w:rPr>
        <w:t>区、</w:t>
      </w:r>
      <w:r>
        <w:rPr>
          <w:rFonts w:ascii="Calibri" w:hAnsi="Calibri" w:eastAsia="仿宋_GB2312" w:cs="Times New Roman"/>
          <w:color w:val="auto"/>
          <w:spacing w:val="6"/>
          <w:kern w:val="0"/>
          <w:sz w:val="32"/>
          <w:szCs w:val="32"/>
          <w:u w:val="none"/>
          <w:lang w:eastAsia="zh-CN" w:bidi="en-US"/>
        </w:rPr>
        <w:t>县（市）会展主管部门，协调税收部门</w:t>
      </w:r>
      <w:r>
        <w:rPr>
          <w:rFonts w:hint="eastAsia" w:ascii="Calibri" w:hAnsi="Calibri" w:eastAsia="仿宋_GB2312" w:cs="Times New Roman"/>
          <w:color w:val="auto"/>
          <w:spacing w:val="6"/>
          <w:kern w:val="0"/>
          <w:sz w:val="32"/>
          <w:szCs w:val="32"/>
          <w:u w:val="none"/>
          <w:lang w:eastAsia="zh-CN" w:bidi="en-US"/>
        </w:rPr>
        <w:t>积极落实税收优惠政策措施</w:t>
      </w:r>
      <w:r>
        <w:rPr>
          <w:rFonts w:ascii="Calibri" w:hAnsi="Calibri" w:eastAsia="仿宋_GB2312" w:cs="Times New Roman"/>
          <w:color w:val="auto"/>
          <w:spacing w:val="6"/>
          <w:kern w:val="0"/>
          <w:sz w:val="32"/>
          <w:szCs w:val="32"/>
          <w:u w:val="none"/>
          <w:lang w:eastAsia="zh-CN" w:bidi="en-US"/>
        </w:rPr>
        <w:t>。</w:t>
      </w:r>
    </w:p>
    <w:p>
      <w:pPr>
        <w:keepNext w:val="0"/>
        <w:keepLines w:val="0"/>
        <w:pageBreakBefore w:val="0"/>
        <w:kinsoku/>
        <w:wordWrap/>
        <w:overflowPunct/>
        <w:topLinePunct w:val="0"/>
        <w:bidi w:val="0"/>
        <w:adjustRightInd/>
        <w:snapToGrid w:val="0"/>
        <w:spacing w:line="560" w:lineRule="exact"/>
        <w:ind w:firstLine="640" w:firstLineChars="200"/>
        <w:contextualSpacing/>
        <w:jc w:val="left"/>
        <w:textAlignment w:val="auto"/>
        <w:outlineLvl w:val="1"/>
        <w:rPr>
          <w:rFonts w:hint="eastAsia" w:ascii="楷体_GB2312" w:hAnsi="Calibri" w:eastAsia="楷体_GB2312" w:cs="Times New Roman"/>
          <w:color w:val="auto"/>
          <w:kern w:val="0"/>
          <w:sz w:val="32"/>
          <w:szCs w:val="32"/>
          <w:u w:val="none"/>
          <w:lang w:eastAsia="zh-CN" w:bidi="en-US"/>
        </w:rPr>
      </w:pPr>
      <w:bookmarkStart w:id="21" w:name="_Toc550537015"/>
      <w:r>
        <w:rPr>
          <w:rFonts w:hint="eastAsia" w:ascii="楷体_GB2312" w:hAnsi="Calibri" w:eastAsia="楷体_GB2312" w:cs="Times New Roman"/>
          <w:color w:val="auto"/>
          <w:kern w:val="0"/>
          <w:sz w:val="32"/>
          <w:szCs w:val="32"/>
          <w:lang w:eastAsia="zh-CN" w:bidi="en-US"/>
        </w:rPr>
        <w:t>（四）</w:t>
      </w:r>
      <w:r>
        <w:rPr>
          <w:rFonts w:hint="eastAsia" w:ascii="楷体_GB2312" w:hAnsi="Calibri" w:eastAsia="楷体_GB2312" w:cs="Times New Roman"/>
          <w:color w:val="auto"/>
          <w:kern w:val="0"/>
          <w:sz w:val="32"/>
          <w:szCs w:val="32"/>
          <w:u w:val="none"/>
          <w:lang w:eastAsia="zh-CN" w:bidi="en-US"/>
        </w:rPr>
        <w:t>强化专业人才引育</w:t>
      </w:r>
      <w:bookmarkEnd w:id="21"/>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ascii="Calibri" w:hAnsi="Calibri" w:eastAsia="仿宋_GB2312" w:cs="Times New Roman"/>
          <w:b/>
          <w:color w:val="auto"/>
          <w:kern w:val="0"/>
          <w:sz w:val="32"/>
          <w:szCs w:val="32"/>
          <w:lang w:eastAsia="zh-CN" w:bidi="en-US"/>
        </w:rPr>
      </w:pPr>
      <w:r>
        <w:rPr>
          <w:rFonts w:hint="eastAsia" w:ascii="仿宋_GB2312" w:hAnsi="仿宋_GB2312" w:eastAsia="仿宋_GB2312" w:cs="仿宋_GB2312"/>
          <w:b/>
          <w:color w:val="auto"/>
          <w:kern w:val="0"/>
          <w:sz w:val="32"/>
          <w:szCs w:val="32"/>
          <w:lang w:eastAsia="zh-CN" w:bidi="en-US"/>
        </w:rPr>
        <w:t>建立会展急需紧缺人才储备库</w:t>
      </w:r>
      <w:r>
        <w:rPr>
          <w:rFonts w:hint="eastAsia" w:ascii="仿宋_GB2312" w:hAnsi="仿宋_GB2312" w:eastAsia="仿宋_GB2312" w:cs="仿宋_GB2312"/>
          <w:color w:val="auto"/>
          <w:kern w:val="0"/>
          <w:sz w:val="32"/>
          <w:szCs w:val="32"/>
          <w:lang w:eastAsia="zh-CN" w:bidi="en-US"/>
        </w:rPr>
        <w:t>。</w:t>
      </w:r>
      <w:r>
        <w:rPr>
          <w:rFonts w:ascii="Calibri" w:hAnsi="Calibri" w:eastAsia="仿宋_GB2312" w:cs="Times New Roman"/>
          <w:color w:val="auto"/>
          <w:kern w:val="0"/>
          <w:sz w:val="32"/>
          <w:szCs w:val="32"/>
          <w:lang w:eastAsia="zh-CN" w:bidi="en-US"/>
        </w:rPr>
        <w:t>将会展人才纳入杭州高端人才引进和培养计划体系</w:t>
      </w:r>
      <w:r>
        <w:rPr>
          <w:rFonts w:hint="eastAsia" w:ascii="Calibri" w:hAnsi="Calibri" w:eastAsia="仿宋_GB2312" w:cs="Times New Roman"/>
          <w:color w:val="auto"/>
          <w:kern w:val="0"/>
          <w:sz w:val="32"/>
          <w:szCs w:val="32"/>
          <w:lang w:eastAsia="zh-CN" w:bidi="en-US"/>
        </w:rPr>
        <w:t>，发挥</w:t>
      </w:r>
      <w:r>
        <w:rPr>
          <w:rFonts w:ascii="Calibri" w:hAnsi="Calibri" w:eastAsia="仿宋_GB2312" w:cs="Times New Roman"/>
          <w:color w:val="auto"/>
          <w:kern w:val="0"/>
          <w:sz w:val="32"/>
          <w:szCs w:val="32"/>
          <w:lang w:eastAsia="zh-CN" w:bidi="en-US"/>
        </w:rPr>
        <w:t>海内外会展领军人才引进的虹吸效应。</w:t>
      </w:r>
      <w:r>
        <w:rPr>
          <w:rFonts w:hint="eastAsia" w:ascii="仿宋_GB2312" w:hAnsi="仿宋_GB2312" w:eastAsia="仿宋_GB2312" w:cs="仿宋_GB2312"/>
          <w:color w:val="auto"/>
          <w:kern w:val="0"/>
          <w:sz w:val="32"/>
          <w:szCs w:val="32"/>
          <w:lang w:eastAsia="zh-CN" w:bidi="en-US"/>
        </w:rPr>
        <w:t>实施会展青年人才弄潮工程，引进具有实操经验的会展人才和团队。</w:t>
      </w:r>
      <w:r>
        <w:rPr>
          <w:rFonts w:hint="eastAsia" w:ascii="仿宋_GB2312" w:hAnsi="仿宋_GB2312" w:eastAsia="仿宋_GB2312" w:cs="仿宋_GB2312"/>
          <w:b/>
          <w:color w:val="auto"/>
          <w:kern w:val="0"/>
          <w:sz w:val="32"/>
          <w:szCs w:val="32"/>
          <w:lang w:eastAsia="zh-CN" w:bidi="en-US"/>
        </w:rPr>
        <w:t>着力</w:t>
      </w:r>
      <w:r>
        <w:rPr>
          <w:rFonts w:ascii="Calibri" w:hAnsi="Calibri" w:eastAsia="仿宋_GB2312" w:cs="Times New Roman"/>
          <w:b/>
          <w:color w:val="auto"/>
          <w:kern w:val="0"/>
          <w:sz w:val="32"/>
          <w:szCs w:val="32"/>
          <w:lang w:eastAsia="zh-CN" w:bidi="en-US"/>
        </w:rPr>
        <w:t>打造面向全国、全球的会展人才培训高地</w:t>
      </w:r>
      <w:r>
        <w:rPr>
          <w:rFonts w:hint="eastAsia" w:ascii="Calibri" w:hAnsi="Calibri" w:eastAsia="仿宋_GB2312" w:cs="Times New Roman"/>
          <w:color w:val="auto"/>
          <w:kern w:val="0"/>
          <w:sz w:val="32"/>
          <w:szCs w:val="32"/>
          <w:lang w:eastAsia="zh-CN" w:bidi="en-US"/>
        </w:rPr>
        <w:t>。</w:t>
      </w:r>
      <w:r>
        <w:rPr>
          <w:rFonts w:ascii="Calibri" w:hAnsi="Calibri" w:eastAsia="仿宋_GB2312" w:cs="Times New Roman"/>
          <w:color w:val="auto"/>
          <w:kern w:val="0"/>
          <w:sz w:val="32"/>
          <w:szCs w:val="32"/>
          <w:lang w:eastAsia="zh-CN" w:bidi="en-US"/>
        </w:rPr>
        <w:t>建立由策划人、培训师队伍、服务团队构成的会展人才体系。建立</w:t>
      </w:r>
      <w:r>
        <w:rPr>
          <w:rFonts w:hint="eastAsia" w:ascii="Calibri" w:hAnsi="Calibri" w:eastAsia="仿宋_GB2312" w:cs="Times New Roman"/>
          <w:color w:val="auto"/>
          <w:kern w:val="0"/>
          <w:sz w:val="32"/>
          <w:szCs w:val="32"/>
          <w:lang w:eastAsia="zh-CN" w:bidi="en-US"/>
        </w:rPr>
        <w:t>会展</w:t>
      </w:r>
      <w:r>
        <w:rPr>
          <w:rFonts w:ascii="Calibri" w:hAnsi="Calibri" w:eastAsia="仿宋_GB2312" w:cs="Times New Roman"/>
          <w:color w:val="auto"/>
          <w:kern w:val="0"/>
          <w:sz w:val="32"/>
          <w:szCs w:val="32"/>
          <w:lang w:eastAsia="zh-CN" w:bidi="en-US"/>
        </w:rPr>
        <w:t>从业人员轮训制度，制定</w:t>
      </w:r>
      <w:r>
        <w:rPr>
          <w:rFonts w:hint="eastAsia" w:ascii="Calibri" w:hAnsi="Calibri" w:eastAsia="仿宋_GB2312" w:cs="Times New Roman"/>
          <w:color w:val="auto"/>
          <w:kern w:val="0"/>
          <w:sz w:val="32"/>
          <w:szCs w:val="32"/>
          <w:lang w:eastAsia="zh-CN" w:bidi="en-US"/>
        </w:rPr>
        <w:t>“</w:t>
      </w:r>
      <w:r>
        <w:rPr>
          <w:rFonts w:ascii="Calibri" w:hAnsi="Calibri" w:eastAsia="仿宋_GB2312" w:cs="Times New Roman"/>
          <w:color w:val="auto"/>
          <w:kern w:val="0"/>
          <w:sz w:val="32"/>
          <w:szCs w:val="32"/>
          <w:lang w:eastAsia="zh-CN" w:bidi="en-US"/>
        </w:rPr>
        <w:t>会展运营师</w:t>
      </w:r>
      <w:r>
        <w:rPr>
          <w:rFonts w:hint="eastAsia" w:ascii="Calibri" w:hAnsi="Calibri" w:eastAsia="仿宋_GB2312" w:cs="Times New Roman"/>
          <w:color w:val="auto"/>
          <w:kern w:val="0"/>
          <w:sz w:val="32"/>
          <w:szCs w:val="32"/>
          <w:lang w:eastAsia="zh-CN" w:bidi="en-US"/>
        </w:rPr>
        <w:t>”</w:t>
      </w:r>
      <w:r>
        <w:rPr>
          <w:rFonts w:ascii="Calibri" w:hAnsi="Calibri" w:eastAsia="仿宋_GB2312" w:cs="Times New Roman"/>
          <w:color w:val="auto"/>
          <w:kern w:val="0"/>
          <w:sz w:val="32"/>
          <w:szCs w:val="32"/>
          <w:lang w:eastAsia="zh-CN" w:bidi="en-US"/>
        </w:rPr>
        <w:t>认证标准，</w:t>
      </w:r>
      <w:r>
        <w:rPr>
          <w:rFonts w:hint="eastAsia" w:ascii="Calibri" w:hAnsi="Calibri" w:eastAsia="仿宋_GB2312" w:cs="Times New Roman"/>
          <w:color w:val="auto"/>
          <w:kern w:val="0"/>
          <w:sz w:val="32"/>
          <w:szCs w:val="32"/>
          <w:lang w:eastAsia="zh-CN" w:bidi="en-US"/>
        </w:rPr>
        <w:t>区分</w:t>
      </w:r>
      <w:r>
        <w:rPr>
          <w:rFonts w:ascii="Calibri" w:hAnsi="Calibri" w:eastAsia="仿宋_GB2312" w:cs="Times New Roman"/>
          <w:color w:val="auto"/>
          <w:kern w:val="0"/>
          <w:sz w:val="32"/>
          <w:szCs w:val="32"/>
          <w:lang w:eastAsia="zh-CN" w:bidi="en-US"/>
        </w:rPr>
        <w:t>初级、中级、高级三个等级</w:t>
      </w:r>
      <w:r>
        <w:rPr>
          <w:rFonts w:hint="eastAsia" w:ascii="Calibri" w:hAnsi="Calibri" w:eastAsia="仿宋_GB2312" w:cs="Times New Roman"/>
          <w:color w:val="auto"/>
          <w:kern w:val="0"/>
          <w:sz w:val="32"/>
          <w:szCs w:val="32"/>
          <w:lang w:eastAsia="zh-CN" w:bidi="en-US"/>
        </w:rPr>
        <w:t>，</w:t>
      </w:r>
      <w:r>
        <w:rPr>
          <w:rFonts w:ascii="Calibri" w:hAnsi="Calibri" w:eastAsia="仿宋_GB2312" w:cs="Times New Roman"/>
          <w:color w:val="auto"/>
          <w:kern w:val="0"/>
          <w:sz w:val="32"/>
          <w:szCs w:val="32"/>
          <w:lang w:eastAsia="zh-CN" w:bidi="en-US"/>
        </w:rPr>
        <w:t>从业者持证比率作为企业评优的</w:t>
      </w:r>
      <w:r>
        <w:rPr>
          <w:rFonts w:hint="eastAsia" w:ascii="Calibri" w:hAnsi="Calibri" w:eastAsia="仿宋_GB2312" w:cs="Times New Roman"/>
          <w:color w:val="auto"/>
          <w:kern w:val="0"/>
          <w:sz w:val="32"/>
          <w:szCs w:val="32"/>
          <w:lang w:eastAsia="zh-CN" w:bidi="en-US"/>
        </w:rPr>
        <w:t>重要</w:t>
      </w:r>
      <w:r>
        <w:rPr>
          <w:rFonts w:ascii="Calibri" w:hAnsi="Calibri" w:eastAsia="仿宋_GB2312" w:cs="Times New Roman"/>
          <w:color w:val="auto"/>
          <w:kern w:val="0"/>
          <w:sz w:val="32"/>
          <w:szCs w:val="32"/>
          <w:lang w:eastAsia="zh-CN" w:bidi="en-US"/>
        </w:rPr>
        <w:t>条件。</w:t>
      </w:r>
      <w:r>
        <w:rPr>
          <w:rFonts w:ascii="Calibri" w:hAnsi="Calibri" w:eastAsia="仿宋_GB2312" w:cs="Times New Roman"/>
          <w:b/>
          <w:color w:val="auto"/>
          <w:spacing w:val="6"/>
          <w:kern w:val="0"/>
          <w:sz w:val="32"/>
          <w:szCs w:val="32"/>
          <w:lang w:eastAsia="zh-CN" w:bidi="en-US"/>
        </w:rPr>
        <w:t>充分发挥高校在会展人才培养和会展行业研究方面的作用</w:t>
      </w:r>
      <w:r>
        <w:rPr>
          <w:rFonts w:hint="eastAsia" w:ascii="Calibri" w:hAnsi="Calibri" w:eastAsia="仿宋_GB2312" w:cs="Times New Roman"/>
          <w:color w:val="auto"/>
          <w:spacing w:val="6"/>
          <w:kern w:val="0"/>
          <w:sz w:val="32"/>
          <w:szCs w:val="32"/>
          <w:lang w:eastAsia="zh-CN" w:bidi="en-US"/>
        </w:rPr>
        <w:t>。鼓励</w:t>
      </w:r>
      <w:r>
        <w:rPr>
          <w:rFonts w:ascii="Calibri" w:hAnsi="Calibri" w:eastAsia="仿宋_GB2312" w:cs="Times New Roman"/>
          <w:color w:val="auto"/>
          <w:spacing w:val="6"/>
          <w:kern w:val="0"/>
          <w:sz w:val="32"/>
          <w:szCs w:val="32"/>
          <w:lang w:eastAsia="zh-CN" w:bidi="en-US"/>
        </w:rPr>
        <w:t>设立本科</w:t>
      </w:r>
      <w:r>
        <w:rPr>
          <w:rFonts w:hint="eastAsia" w:ascii="Calibri" w:hAnsi="Calibri" w:eastAsia="仿宋_GB2312" w:cs="Times New Roman"/>
          <w:color w:val="auto"/>
          <w:spacing w:val="6"/>
          <w:kern w:val="0"/>
          <w:sz w:val="32"/>
          <w:szCs w:val="32"/>
          <w:lang w:eastAsia="zh-CN" w:bidi="en-US"/>
        </w:rPr>
        <w:t>、</w:t>
      </w:r>
      <w:r>
        <w:rPr>
          <w:rFonts w:ascii="Calibri" w:hAnsi="Calibri" w:eastAsia="仿宋_GB2312" w:cs="Times New Roman"/>
          <w:color w:val="auto"/>
          <w:spacing w:val="6"/>
          <w:kern w:val="0"/>
          <w:sz w:val="32"/>
          <w:szCs w:val="32"/>
          <w:lang w:eastAsia="zh-CN" w:bidi="en-US"/>
        </w:rPr>
        <w:t>硕士研究生</w:t>
      </w:r>
      <w:r>
        <w:rPr>
          <w:rFonts w:hint="eastAsia" w:ascii="Calibri" w:hAnsi="Calibri" w:eastAsia="仿宋_GB2312" w:cs="Times New Roman"/>
          <w:color w:val="auto"/>
          <w:spacing w:val="6"/>
          <w:kern w:val="0"/>
          <w:sz w:val="32"/>
          <w:szCs w:val="32"/>
          <w:lang w:eastAsia="zh-CN" w:bidi="en-US"/>
        </w:rPr>
        <w:t>、博士研究生</w:t>
      </w:r>
      <w:r>
        <w:rPr>
          <w:rFonts w:ascii="Calibri" w:hAnsi="Calibri" w:eastAsia="仿宋_GB2312" w:cs="Times New Roman"/>
          <w:color w:val="auto"/>
          <w:spacing w:val="6"/>
          <w:kern w:val="0"/>
          <w:sz w:val="32"/>
          <w:szCs w:val="32"/>
          <w:lang w:eastAsia="zh-CN" w:bidi="en-US"/>
        </w:rPr>
        <w:t>教育层次的会展经济与管理相关专业。</w:t>
      </w:r>
      <w:r>
        <w:rPr>
          <w:rFonts w:ascii="Calibri" w:hAnsi="Calibri" w:eastAsia="仿宋_GB2312" w:cs="Times New Roman"/>
          <w:color w:val="auto"/>
          <w:kern w:val="0"/>
          <w:sz w:val="32"/>
          <w:szCs w:val="32"/>
          <w:lang w:eastAsia="zh-CN" w:bidi="en-US"/>
        </w:rPr>
        <w:t>努力创建会展产教融合示范基地，</w:t>
      </w:r>
      <w:r>
        <w:rPr>
          <w:rFonts w:ascii="Calibri" w:hAnsi="Calibri" w:eastAsia="仿宋_GB2312" w:cs="Times New Roman"/>
          <w:color w:val="auto"/>
          <w:spacing w:val="6"/>
          <w:kern w:val="0"/>
          <w:sz w:val="32"/>
          <w:szCs w:val="32"/>
          <w:lang w:eastAsia="zh-CN" w:bidi="en-US"/>
        </w:rPr>
        <w:t>鼓励高校开展对外交流、海外培训项目，培育具有国际化视野的会展业高级应用型人才。</w:t>
      </w:r>
      <w:r>
        <w:rPr>
          <w:rFonts w:ascii="Calibri" w:hAnsi="Calibri" w:eastAsia="仿宋_GB2312" w:cs="Times New Roman"/>
          <w:b/>
          <w:color w:val="auto"/>
          <w:spacing w:val="6"/>
          <w:kern w:val="0"/>
          <w:sz w:val="32"/>
          <w:szCs w:val="32"/>
          <w:lang w:eastAsia="zh-CN" w:bidi="en-US"/>
        </w:rPr>
        <w:t>实施会展教育定制化</w:t>
      </w:r>
      <w:r>
        <w:rPr>
          <w:rFonts w:hint="eastAsia" w:ascii="Calibri" w:hAnsi="Calibri" w:eastAsia="仿宋_GB2312" w:cs="Times New Roman"/>
          <w:color w:val="auto"/>
          <w:spacing w:val="6"/>
          <w:kern w:val="0"/>
          <w:sz w:val="32"/>
          <w:szCs w:val="32"/>
          <w:lang w:eastAsia="zh-CN" w:bidi="en-US"/>
        </w:rPr>
        <w:t>。</w:t>
      </w:r>
      <w:r>
        <w:rPr>
          <w:rFonts w:hint="eastAsia" w:ascii="Calibri" w:hAnsi="Calibri" w:eastAsia="仿宋_GB2312" w:cs="Times New Roman"/>
          <w:color w:val="auto"/>
          <w:spacing w:val="6"/>
          <w:kern w:val="0"/>
          <w:sz w:val="32"/>
          <w:szCs w:val="32"/>
          <w:lang w:val="en-US" w:eastAsia="zh-CN" w:bidi="en-US"/>
        </w:rPr>
        <w:t>创建会展教育实践基地</w:t>
      </w:r>
      <w:r>
        <w:rPr>
          <w:rFonts w:ascii="Calibri" w:hAnsi="Calibri" w:eastAsia="仿宋_GB2312" w:cs="Times New Roman"/>
          <w:color w:val="auto"/>
          <w:spacing w:val="6"/>
          <w:kern w:val="0"/>
          <w:sz w:val="32"/>
          <w:szCs w:val="32"/>
          <w:lang w:eastAsia="zh-CN" w:bidi="en-US"/>
        </w:rPr>
        <w:t>，实现课程设置模块化、实习活动主题化、理论和实践循环互动的良好机制，加强人才的实践应用性。</w:t>
      </w:r>
    </w:p>
    <w:p>
      <w:pPr>
        <w:keepNext w:val="0"/>
        <w:keepLines w:val="0"/>
        <w:pageBreakBefore w:val="0"/>
        <w:numPr>
          <w:ilvl w:val="0"/>
          <w:numId w:val="0"/>
        </w:numPr>
        <w:kinsoku/>
        <w:wordWrap/>
        <w:overflowPunct/>
        <w:topLinePunct w:val="0"/>
        <w:bidi w:val="0"/>
        <w:adjustRightInd/>
        <w:snapToGrid w:val="0"/>
        <w:spacing w:line="560" w:lineRule="exact"/>
        <w:ind w:left="0" w:leftChars="0" w:firstLine="640" w:firstLineChars="200"/>
        <w:contextualSpacing/>
        <w:textAlignment w:val="auto"/>
        <w:outlineLvl w:val="1"/>
        <w:rPr>
          <w:rFonts w:ascii="楷体_GB2312" w:hAnsi="Calibri" w:eastAsia="楷体_GB2312" w:cs="Times New Roman"/>
          <w:color w:val="auto"/>
          <w:kern w:val="0"/>
          <w:sz w:val="32"/>
          <w:szCs w:val="32"/>
          <w:lang w:eastAsia="zh-CN" w:bidi="en-US"/>
        </w:rPr>
      </w:pPr>
      <w:bookmarkStart w:id="22" w:name="_Toc1232797655"/>
      <w:r>
        <w:rPr>
          <w:rFonts w:hint="eastAsia" w:ascii="楷体_GB2312" w:hAnsi="Calibri" w:eastAsia="楷体_GB2312" w:cs="Times New Roman"/>
          <w:color w:val="auto"/>
          <w:kern w:val="0"/>
          <w:sz w:val="32"/>
          <w:szCs w:val="32"/>
          <w:lang w:eastAsia="zh-CN" w:bidi="en-US"/>
        </w:rPr>
        <w:t>（五）</w:t>
      </w:r>
      <w:r>
        <w:rPr>
          <w:rFonts w:ascii="楷体_GB2312" w:hAnsi="Calibri" w:eastAsia="楷体_GB2312" w:cs="Times New Roman"/>
          <w:color w:val="auto"/>
          <w:kern w:val="0"/>
          <w:sz w:val="32"/>
          <w:szCs w:val="32"/>
          <w:lang w:eastAsia="zh-CN" w:bidi="en-US"/>
        </w:rPr>
        <w:t>健全</w:t>
      </w:r>
      <w:r>
        <w:rPr>
          <w:rFonts w:hint="eastAsia" w:ascii="楷体_GB2312" w:hAnsi="Calibri" w:eastAsia="楷体_GB2312" w:cs="Times New Roman"/>
          <w:color w:val="auto"/>
          <w:kern w:val="0"/>
          <w:sz w:val="32"/>
          <w:szCs w:val="32"/>
          <w:lang w:eastAsia="zh-CN" w:bidi="en-US"/>
        </w:rPr>
        <w:t>行业</w:t>
      </w:r>
      <w:r>
        <w:rPr>
          <w:rFonts w:ascii="楷体_GB2312" w:hAnsi="Calibri" w:eastAsia="楷体_GB2312" w:cs="Times New Roman"/>
          <w:color w:val="auto"/>
          <w:kern w:val="0"/>
          <w:sz w:val="32"/>
          <w:szCs w:val="32"/>
          <w:lang w:eastAsia="zh-CN" w:bidi="en-US"/>
        </w:rPr>
        <w:t>统计评价体系</w:t>
      </w:r>
      <w:bookmarkEnd w:id="22"/>
    </w:p>
    <w:p>
      <w:pPr>
        <w:keepNext w:val="0"/>
        <w:keepLines w:val="0"/>
        <w:pageBreakBefore w:val="0"/>
        <w:kinsoku/>
        <w:wordWrap/>
        <w:overflowPunct/>
        <w:topLinePunct w:val="0"/>
        <w:bidi w:val="0"/>
        <w:adjustRightInd/>
        <w:snapToGrid w:val="0"/>
        <w:spacing w:line="560" w:lineRule="exact"/>
        <w:ind w:firstLine="642" w:firstLineChars="200"/>
        <w:contextualSpacing/>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b/>
          <w:color w:val="auto"/>
          <w:kern w:val="0"/>
          <w:sz w:val="32"/>
          <w:szCs w:val="32"/>
          <w:lang w:eastAsia="zh-CN" w:bidi="en-US"/>
        </w:rPr>
        <w:t>完善会展行业统计体系。</w:t>
      </w:r>
      <w:r>
        <w:rPr>
          <w:rFonts w:hint="eastAsia" w:ascii="仿宋_GB2312" w:hAnsi="仿宋_GB2312" w:eastAsia="仿宋_GB2312" w:cs="仿宋_GB2312"/>
          <w:color w:val="auto"/>
          <w:kern w:val="0"/>
          <w:sz w:val="32"/>
          <w:szCs w:val="32"/>
          <w:lang w:eastAsia="zh-CN" w:bidi="en-US"/>
        </w:rPr>
        <w:t>运用5G技术等方式精准收集客流信息，运用杭州城市大脑等智慧化场景，优化会展场馆管理和会展数据的统计，建立与国际接轨的会展业统计、分析和评价指标体系，监测会展发展动态。基于疫情常态化背景下，线上线下相结合的会展模式新形势，建立云端会展项目的统计和分析，形成完善的会展统计体系。</w:t>
      </w:r>
      <w:r>
        <w:rPr>
          <w:rFonts w:hint="eastAsia" w:ascii="仿宋_GB2312" w:hAnsi="仿宋_GB2312" w:eastAsia="仿宋_GB2312" w:cs="仿宋_GB2312"/>
          <w:b/>
          <w:color w:val="auto"/>
          <w:kern w:val="0"/>
          <w:sz w:val="32"/>
          <w:szCs w:val="32"/>
          <w:lang w:eastAsia="zh-CN" w:bidi="en-US"/>
        </w:rPr>
        <w:t>建立会展行业评价体系。</w:t>
      </w:r>
      <w:r>
        <w:rPr>
          <w:rFonts w:hint="eastAsia" w:ascii="仿宋_GB2312" w:hAnsi="仿宋_GB2312" w:eastAsia="仿宋_GB2312" w:cs="仿宋_GB2312"/>
          <w:color w:val="auto"/>
          <w:kern w:val="0"/>
          <w:sz w:val="32"/>
          <w:szCs w:val="32"/>
          <w:lang w:eastAsia="zh-CN" w:bidi="en-US"/>
        </w:rPr>
        <w:t>形成科学、合理的第三方会展业竞争指标和评价体系和“定性+定量”“主观调查+客观评价”“展会现场访谈+展后分析”的评价模式。运用大数据技术，结合各类指标体系，通过“前台追踪+后台分析”模式，简化评估手段，提高评估效率，形成行业发展规律，为展会综合保障、企业品牌价值提升、展馆档期管理等提供智力支持，力促数字化会展发展，构建数字化会展场馆管理标准，打造成为全国标准示范基地。</w:t>
      </w:r>
    </w:p>
    <w:p>
      <w:pPr>
        <w:keepNext w:val="0"/>
        <w:keepLines w:val="0"/>
        <w:pageBreakBefore w:val="0"/>
        <w:kinsoku/>
        <w:wordWrap/>
        <w:overflowPunct/>
        <w:topLinePunct w:val="0"/>
        <w:bidi w:val="0"/>
        <w:adjustRightInd/>
        <w:snapToGrid w:val="0"/>
        <w:spacing w:line="560" w:lineRule="exact"/>
        <w:ind w:firstLine="566" w:firstLineChars="177"/>
        <w:textAlignment w:val="auto"/>
        <w:outlineLvl w:val="1"/>
        <w:rPr>
          <w:rFonts w:hint="eastAsia" w:ascii="楷体_GB2312" w:hAnsi="Calibri" w:eastAsia="楷体_GB2312" w:cs="Times New Roman"/>
          <w:b w:val="0"/>
          <w:bCs w:val="0"/>
          <w:color w:val="auto"/>
          <w:sz w:val="32"/>
          <w:szCs w:val="32"/>
          <w:lang w:val="en-US" w:eastAsia="zh-CN" w:bidi="en-US"/>
        </w:rPr>
      </w:pPr>
      <w:bookmarkStart w:id="23" w:name="_Toc1375240391"/>
      <w:r>
        <w:rPr>
          <w:rFonts w:ascii="楷体_GB2312" w:hAnsi="Calibri" w:eastAsia="楷体_GB2312" w:cs="Times New Roman"/>
          <w:b w:val="0"/>
          <w:bCs w:val="0"/>
          <w:color w:val="auto"/>
          <w:sz w:val="32"/>
          <w:szCs w:val="32"/>
          <w:lang w:val="en-US" w:eastAsia="zh-CN" w:bidi="en-US"/>
        </w:rPr>
        <w:t>（</w:t>
      </w:r>
      <w:r>
        <w:rPr>
          <w:rFonts w:hint="eastAsia" w:ascii="楷体_GB2312" w:hAnsi="Calibri" w:eastAsia="楷体_GB2312" w:cs="Times New Roman"/>
          <w:b w:val="0"/>
          <w:bCs w:val="0"/>
          <w:color w:val="auto"/>
          <w:sz w:val="32"/>
          <w:szCs w:val="32"/>
          <w:lang w:val="en-US" w:eastAsia="zh-CN" w:bidi="en-US"/>
        </w:rPr>
        <w:t>六</w:t>
      </w:r>
      <w:r>
        <w:rPr>
          <w:rFonts w:ascii="楷体_GB2312" w:hAnsi="Calibri" w:eastAsia="楷体_GB2312" w:cs="Times New Roman"/>
          <w:b w:val="0"/>
          <w:bCs w:val="0"/>
          <w:color w:val="auto"/>
          <w:sz w:val="32"/>
          <w:szCs w:val="32"/>
          <w:lang w:val="en-US" w:eastAsia="zh-CN" w:bidi="en-US"/>
        </w:rPr>
        <w:t>）营造</w:t>
      </w:r>
      <w:r>
        <w:rPr>
          <w:rFonts w:hint="eastAsia" w:ascii="楷体_GB2312" w:hAnsi="Calibri" w:eastAsia="楷体_GB2312" w:cs="Times New Roman"/>
          <w:b w:val="0"/>
          <w:bCs w:val="0"/>
          <w:color w:val="auto"/>
          <w:sz w:val="32"/>
          <w:szCs w:val="32"/>
          <w:lang w:val="en-US" w:eastAsia="zh-CN" w:bidi="en-US"/>
        </w:rPr>
        <w:t>行业</w:t>
      </w:r>
      <w:r>
        <w:rPr>
          <w:rFonts w:ascii="楷体_GB2312" w:hAnsi="Calibri" w:eastAsia="楷体_GB2312" w:cs="Times New Roman"/>
          <w:b w:val="0"/>
          <w:bCs w:val="0"/>
          <w:color w:val="auto"/>
          <w:sz w:val="32"/>
          <w:szCs w:val="32"/>
          <w:lang w:val="en-US" w:eastAsia="zh-CN" w:bidi="en-US"/>
        </w:rPr>
        <w:t>发展氛围</w:t>
      </w:r>
      <w:bookmarkEnd w:id="23"/>
    </w:p>
    <w:p>
      <w:pPr>
        <w:keepNext w:val="0"/>
        <w:keepLines w:val="0"/>
        <w:pageBreakBefore w:val="0"/>
        <w:kinsoku/>
        <w:wordWrap/>
        <w:overflowPunct/>
        <w:topLinePunct w:val="0"/>
        <w:bidi w:val="0"/>
        <w:adjustRightInd/>
        <w:snapToGrid w:val="0"/>
        <w:spacing w:line="560" w:lineRule="exact"/>
        <w:ind w:firstLine="640" w:firstLineChars="200"/>
        <w:contextualSpacing/>
        <w:textAlignment w:val="auto"/>
        <w:rPr>
          <w:rFonts w:hint="eastAsia" w:ascii="仿宋_GB2312" w:hAnsi="Calibri" w:eastAsia="仿宋_GB2312" w:cs="Times New Roman"/>
          <w:color w:val="auto"/>
          <w:kern w:val="0"/>
          <w:sz w:val="32"/>
          <w:szCs w:val="32"/>
          <w:u w:val="none"/>
          <w:lang w:eastAsia="zh-CN" w:bidi="en-US"/>
        </w:rPr>
      </w:pPr>
      <w:r>
        <w:rPr>
          <w:rFonts w:hint="eastAsia" w:ascii="仿宋_GB2312" w:hAnsi="Calibri" w:eastAsia="仿宋_GB2312" w:cs="Times New Roman"/>
          <w:color w:val="auto"/>
          <w:kern w:val="0"/>
          <w:sz w:val="32"/>
          <w:szCs w:val="32"/>
          <w:u w:val="none"/>
          <w:lang w:eastAsia="zh-CN" w:bidi="en-US"/>
        </w:rPr>
        <w:t>与宣传、文旅、体育、科技、经信等部门加强沟通和协作，将</w:t>
      </w:r>
      <w:r>
        <w:rPr>
          <w:rFonts w:hint="eastAsia" w:ascii="仿宋_GB2312" w:hAnsi="Calibri" w:eastAsia="仿宋_GB2312" w:cs="Times New Roman"/>
          <w:color w:val="auto"/>
          <w:spacing w:val="6"/>
          <w:kern w:val="0"/>
          <w:sz w:val="32"/>
          <w:szCs w:val="32"/>
          <w:u w:val="none"/>
          <w:lang w:eastAsia="zh-CN" w:bidi="en-US"/>
        </w:rPr>
        <w:t>会展之都、赛事之城</w:t>
      </w:r>
      <w:r>
        <w:rPr>
          <w:rFonts w:hint="eastAsia" w:ascii="仿宋_GB2312" w:hAnsi="Calibri" w:eastAsia="仿宋_GB2312" w:cs="Times New Roman"/>
          <w:color w:val="auto"/>
          <w:kern w:val="0"/>
          <w:sz w:val="32"/>
          <w:szCs w:val="32"/>
          <w:u w:val="none"/>
          <w:lang w:eastAsia="zh-CN" w:bidi="en-US"/>
        </w:rPr>
        <w:t>品牌传播与城市营销有机结合。加强营销传播，打造杭州会展识别系统（DIS），整合包括会展专题宣传片、宣传手册、促销宣传品等营销方式，与国内外线上线下宣传平台合作，开展整体形象宣传。整合包括自办交易会、海内外参展、国内销售拜访、买家考察、公关推介等各类活动载体，强化宣传推广效果。积极与会展大使、专业媒体、行业大咖、院校专家等利益相关者形成合作，实现IP助力。运用社群营销、互动体验、口碑传播、事件营销等不同形式的营销手段，实现营销与传播的融合共进。积极申办世界博览会、世界园艺博览会等重大展会项目，保持和提升</w:t>
      </w:r>
      <w:r>
        <w:rPr>
          <w:rFonts w:hint="eastAsia" w:ascii="仿宋_GB2312" w:hAnsi="Calibri" w:eastAsia="仿宋_GB2312" w:cs="Times New Roman"/>
          <w:color w:val="auto"/>
          <w:spacing w:val="6"/>
          <w:kern w:val="0"/>
          <w:sz w:val="32"/>
          <w:szCs w:val="32"/>
          <w:u w:val="none"/>
          <w:lang w:eastAsia="zh-CN" w:bidi="en-US"/>
        </w:rPr>
        <w:t>会展之都、赛事之城</w:t>
      </w:r>
      <w:r>
        <w:rPr>
          <w:rFonts w:hint="eastAsia" w:ascii="仿宋_GB2312" w:hAnsi="Calibri" w:eastAsia="仿宋_GB2312" w:cs="Times New Roman"/>
          <w:color w:val="auto"/>
          <w:kern w:val="0"/>
          <w:sz w:val="32"/>
          <w:szCs w:val="32"/>
          <w:u w:val="none"/>
          <w:lang w:eastAsia="zh-CN" w:bidi="en-US"/>
        </w:rPr>
        <w:t>的热度和领先度。</w:t>
      </w:r>
    </w:p>
    <w:p>
      <w:pPr>
        <w:keepNext w:val="0"/>
        <w:keepLines w:val="0"/>
        <w:pageBreakBefore w:val="0"/>
        <w:kinsoku/>
        <w:wordWrap/>
        <w:overflowPunct/>
        <w:topLinePunct w:val="0"/>
        <w:bidi w:val="0"/>
        <w:adjustRightInd/>
        <w:snapToGrid w:val="0"/>
        <w:spacing w:line="560" w:lineRule="exact"/>
        <w:textAlignment w:val="auto"/>
        <w:outlineLvl w:val="0"/>
        <w:rPr>
          <w:rFonts w:hint="eastAsia" w:ascii="黑体" w:hAnsi="黑体" w:eastAsia="黑体" w:cs="小标宋"/>
          <w:b w:val="0"/>
          <w:bCs w:val="0"/>
          <w:color w:val="auto"/>
          <w:kern w:val="2"/>
          <w:sz w:val="32"/>
          <w:szCs w:val="32"/>
          <w:lang w:val="en-US" w:eastAsia="zh-CN" w:bidi="en-US"/>
        </w:rPr>
      </w:pPr>
      <w:r>
        <w:rPr>
          <w:rFonts w:ascii="Cambria" w:hAnsi="Cambria" w:eastAsia="仿宋_GB2312" w:cs="Times New Roman"/>
          <w:b w:val="0"/>
          <w:bCs/>
          <w:color w:val="auto"/>
          <w:sz w:val="32"/>
          <w:szCs w:val="32"/>
          <w:lang w:val="en-US" w:eastAsia="zh-CN" w:bidi="en-US"/>
        </w:rPr>
        <w:br w:type="page"/>
      </w:r>
      <w:bookmarkStart w:id="24" w:name="_Toc1115414467"/>
      <w:r>
        <w:rPr>
          <w:rFonts w:hint="eastAsia" w:ascii="黑体" w:hAnsi="黑体" w:eastAsia="黑体" w:cs="小标宋"/>
          <w:b w:val="0"/>
          <w:bCs w:val="0"/>
          <w:color w:val="auto"/>
          <w:kern w:val="2"/>
          <w:sz w:val="32"/>
          <w:szCs w:val="32"/>
          <w:lang w:val="en-US" w:eastAsia="zh-CN" w:bidi="en-US"/>
        </w:rPr>
        <w:t>附件1</w:t>
      </w:r>
      <w:bookmarkEnd w:id="24"/>
    </w:p>
    <w:p>
      <w:pPr>
        <w:keepNext w:val="0"/>
        <w:keepLines w:val="0"/>
        <w:pageBreakBefore w:val="0"/>
        <w:kinsoku/>
        <w:wordWrap/>
        <w:overflowPunct/>
        <w:topLinePunct w:val="0"/>
        <w:bidi w:val="0"/>
        <w:adjustRightInd/>
        <w:snapToGrid w:val="0"/>
        <w:spacing w:line="300" w:lineRule="auto"/>
        <w:textAlignment w:val="auto"/>
        <w:outlineLvl w:val="0"/>
        <w:rPr>
          <w:rFonts w:hint="eastAsia" w:ascii="黑体" w:hAnsi="黑体" w:eastAsia="黑体" w:cs="小标宋"/>
          <w:b w:val="0"/>
          <w:bCs w:val="0"/>
          <w:color w:val="auto"/>
          <w:kern w:val="2"/>
          <w:sz w:val="21"/>
          <w:szCs w:val="21"/>
          <w:lang w:val="en-US" w:eastAsia="zh-CN" w:bidi="en-US"/>
        </w:rPr>
      </w:pPr>
    </w:p>
    <w:p>
      <w:pPr>
        <w:keepNext w:val="0"/>
        <w:keepLines w:val="0"/>
        <w:pageBreakBefore w:val="0"/>
        <w:kinsoku/>
        <w:wordWrap/>
        <w:overflowPunct/>
        <w:topLinePunct w:val="0"/>
        <w:bidi w:val="0"/>
        <w:adjustRightInd/>
        <w:snapToGrid w:val="0"/>
        <w:spacing w:line="560" w:lineRule="exact"/>
        <w:jc w:val="center"/>
        <w:textAlignment w:val="auto"/>
        <w:outlineLvl w:val="0"/>
        <w:rPr>
          <w:rFonts w:hint="eastAsia" w:ascii="方正小标宋_GBK" w:hAnsi="方正小标宋_GBK" w:eastAsia="方正小标宋_GBK" w:cs="方正小标宋_GBK"/>
          <w:color w:val="auto"/>
          <w:kern w:val="0"/>
          <w:sz w:val="36"/>
          <w:szCs w:val="36"/>
          <w:lang w:eastAsia="zh-CN" w:bidi="en-US"/>
        </w:rPr>
      </w:pPr>
      <w:bookmarkStart w:id="25" w:name="_Toc1220664085"/>
      <w:r>
        <w:rPr>
          <w:rFonts w:hint="eastAsia" w:ascii="方正小标宋_GBK" w:hAnsi="方正小标宋_GBK" w:eastAsia="方正小标宋_GBK" w:cs="方正小标宋_GBK"/>
          <w:b w:val="0"/>
          <w:bCs w:val="0"/>
          <w:color w:val="auto"/>
          <w:kern w:val="2"/>
          <w:sz w:val="36"/>
          <w:szCs w:val="36"/>
          <w:lang w:val="en-US" w:eastAsia="zh-CN" w:bidi="en-US"/>
        </w:rPr>
        <w:t>杭州市会展业发展“十四五”规划重点会议项目</w:t>
      </w:r>
      <w:bookmarkEnd w:id="25"/>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eastAsia="zh-CN" w:bidi="en-US"/>
        </w:rPr>
      </w:pP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eastAsia="zh-CN" w:bidi="en-US"/>
        </w:rPr>
        <w:t>1.世界知识产权大会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eastAsia="zh-CN" w:bidi="en-US"/>
        </w:rPr>
        <w:t>2.杭州国际人才交流与项目合作大会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eastAsia="zh-CN" w:bidi="en-US"/>
        </w:rPr>
        <w:t>3.中国国际服务外包博览会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eastAsia="zh-CN" w:bidi="en-US"/>
        </w:rPr>
        <w:t>4.侨界精英创新创业峰会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5.</w:t>
      </w:r>
      <w:r>
        <w:rPr>
          <w:rFonts w:hint="eastAsia" w:ascii="仿宋_GB2312" w:hAnsi="仿宋_GB2312" w:eastAsia="仿宋_GB2312" w:cs="仿宋_GB2312"/>
          <w:color w:val="auto"/>
          <w:kern w:val="0"/>
          <w:sz w:val="32"/>
          <w:szCs w:val="32"/>
          <w:lang w:eastAsia="zh-CN" w:bidi="en-US"/>
        </w:rPr>
        <w:t>世界杭商大会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6.</w:t>
      </w:r>
      <w:r>
        <w:rPr>
          <w:rFonts w:hint="eastAsia" w:ascii="仿宋_GB2312" w:hAnsi="仿宋_GB2312" w:eastAsia="仿宋_GB2312" w:cs="仿宋_GB2312"/>
          <w:color w:val="auto"/>
          <w:kern w:val="0"/>
          <w:sz w:val="32"/>
          <w:szCs w:val="32"/>
          <w:lang w:eastAsia="zh-CN" w:bidi="en-US"/>
        </w:rPr>
        <w:t>空天信息大会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val="en-US" w:eastAsia="zh-CN" w:bidi="en-US"/>
        </w:rPr>
        <w:t>7.</w:t>
      </w:r>
      <w:r>
        <w:rPr>
          <w:rFonts w:hint="eastAsia" w:ascii="仿宋_GB2312" w:hAnsi="仿宋_GB2312" w:eastAsia="仿宋_GB2312" w:cs="仿宋_GB2312"/>
          <w:color w:val="auto"/>
          <w:kern w:val="0"/>
          <w:sz w:val="32"/>
          <w:szCs w:val="32"/>
          <w:lang w:eastAsia="zh-CN" w:bidi="en-US"/>
        </w:rPr>
        <w:t>全球人工智能大会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8.</w:t>
      </w:r>
      <w:r>
        <w:rPr>
          <w:rFonts w:hint="eastAsia" w:ascii="仿宋_GB2312" w:hAnsi="仿宋_GB2312" w:eastAsia="仿宋_GB2312" w:cs="仿宋_GB2312"/>
          <w:color w:val="auto"/>
          <w:kern w:val="0"/>
          <w:sz w:val="32"/>
          <w:szCs w:val="32"/>
          <w:lang w:eastAsia="zh-CN" w:bidi="en-US"/>
        </w:rPr>
        <w:t>数字杭州会展合作大会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9.</w:t>
      </w:r>
      <w:r>
        <w:rPr>
          <w:rFonts w:hint="eastAsia" w:ascii="仿宋_GB2312" w:hAnsi="仿宋_GB2312" w:eastAsia="仿宋_GB2312" w:cs="仿宋_GB2312"/>
          <w:color w:val="auto"/>
          <w:kern w:val="0"/>
          <w:sz w:val="32"/>
          <w:szCs w:val="32"/>
          <w:lang w:eastAsia="zh-CN" w:bidi="en-US"/>
        </w:rPr>
        <w:t>万物生长大会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10.</w:t>
      </w:r>
      <w:r>
        <w:rPr>
          <w:rFonts w:hint="eastAsia" w:ascii="仿宋_GB2312" w:hAnsi="仿宋_GB2312" w:eastAsia="仿宋_GB2312" w:cs="仿宋_GB2312"/>
          <w:color w:val="auto"/>
          <w:kern w:val="0"/>
          <w:sz w:val="32"/>
          <w:szCs w:val="32"/>
          <w:lang w:eastAsia="zh-CN" w:bidi="en-US"/>
        </w:rPr>
        <w:t>中国城市会展发展大会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11</w:t>
      </w:r>
      <w:r>
        <w:rPr>
          <w:rFonts w:hint="eastAsia" w:ascii="仿宋_GB2312" w:hAnsi="仿宋_GB2312" w:eastAsia="仿宋_GB2312" w:cs="仿宋_GB2312"/>
          <w:color w:val="auto"/>
          <w:kern w:val="0"/>
          <w:sz w:val="32"/>
          <w:szCs w:val="32"/>
          <w:lang w:eastAsia="zh-CN" w:bidi="en-US"/>
        </w:rPr>
        <w:t>.杭州国际友好城市市长论坛</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12</w:t>
      </w:r>
      <w:r>
        <w:rPr>
          <w:rFonts w:hint="eastAsia" w:ascii="仿宋_GB2312" w:hAnsi="仿宋_GB2312" w:eastAsia="仿宋_GB2312" w:cs="仿宋_GB2312"/>
          <w:color w:val="auto"/>
          <w:kern w:val="0"/>
          <w:sz w:val="32"/>
          <w:szCs w:val="32"/>
          <w:lang w:eastAsia="zh-CN" w:bidi="en-US"/>
        </w:rPr>
        <w:t>.杭州国际日</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13</w:t>
      </w:r>
      <w:r>
        <w:rPr>
          <w:rFonts w:hint="eastAsia" w:ascii="仿宋_GB2312" w:hAnsi="仿宋_GB2312" w:eastAsia="仿宋_GB2312" w:cs="仿宋_GB2312"/>
          <w:color w:val="auto"/>
          <w:kern w:val="0"/>
          <w:sz w:val="32"/>
          <w:szCs w:val="32"/>
          <w:lang w:eastAsia="zh-CN" w:bidi="en-US"/>
        </w:rPr>
        <w:t>.AI Cloud生态大会</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14</w:t>
      </w:r>
      <w:r>
        <w:rPr>
          <w:rFonts w:hint="eastAsia" w:ascii="仿宋_GB2312" w:hAnsi="仿宋_GB2312" w:eastAsia="仿宋_GB2312" w:cs="仿宋_GB2312"/>
          <w:color w:val="auto"/>
          <w:kern w:val="0"/>
          <w:sz w:val="32"/>
          <w:szCs w:val="32"/>
          <w:lang w:eastAsia="zh-CN" w:bidi="en-US"/>
        </w:rPr>
        <w:t>.新生代企业家论坛</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15</w:t>
      </w:r>
      <w:r>
        <w:rPr>
          <w:rFonts w:hint="eastAsia" w:ascii="仿宋_GB2312" w:hAnsi="仿宋_GB2312" w:eastAsia="仿宋_GB2312" w:cs="仿宋_GB2312"/>
          <w:color w:val="auto"/>
          <w:kern w:val="0"/>
          <w:sz w:val="32"/>
          <w:szCs w:val="32"/>
          <w:lang w:eastAsia="zh-CN" w:bidi="en-US"/>
        </w:rPr>
        <w:t>.网易未来大会</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eastAsia="zh-CN" w:bidi="en-US"/>
        </w:rPr>
        <w:t>1</w:t>
      </w:r>
      <w:r>
        <w:rPr>
          <w:rFonts w:hint="eastAsia" w:ascii="仿宋_GB2312" w:hAnsi="仿宋_GB2312" w:eastAsia="仿宋_GB2312" w:cs="仿宋_GB2312"/>
          <w:color w:val="auto"/>
          <w:kern w:val="0"/>
          <w:sz w:val="32"/>
          <w:szCs w:val="32"/>
          <w:lang w:val="en-US" w:eastAsia="zh-CN" w:bidi="en-US"/>
        </w:rPr>
        <w:t>6</w:t>
      </w:r>
      <w:r>
        <w:rPr>
          <w:rFonts w:hint="eastAsia" w:ascii="仿宋_GB2312" w:hAnsi="仿宋_GB2312" w:eastAsia="仿宋_GB2312" w:cs="仿宋_GB2312"/>
          <w:color w:val="auto"/>
          <w:kern w:val="0"/>
          <w:sz w:val="32"/>
          <w:szCs w:val="32"/>
          <w:lang w:eastAsia="zh-CN" w:bidi="en-US"/>
        </w:rPr>
        <w:t>.两湖论坛</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17.</w:t>
      </w:r>
      <w:r>
        <w:rPr>
          <w:rFonts w:hint="eastAsia" w:ascii="仿宋_GB2312" w:hAnsi="仿宋_GB2312" w:eastAsia="仿宋_GB2312" w:cs="仿宋_GB2312"/>
          <w:color w:val="auto"/>
          <w:kern w:val="0"/>
          <w:sz w:val="32"/>
          <w:szCs w:val="32"/>
          <w:lang w:eastAsia="zh-CN" w:bidi="en-US"/>
        </w:rPr>
        <w:t>中国城市学年会</w:t>
      </w:r>
    </w:p>
    <w:p>
      <w:pPr>
        <w:keepNext w:val="0"/>
        <w:keepLines w:val="0"/>
        <w:pageBreakBefore w:val="0"/>
        <w:numPr>
          <w:ilvl w:val="0"/>
          <w:numId w:val="0"/>
        </w:numPr>
        <w:kinsoku/>
        <w:wordWrap/>
        <w:overflowPunct/>
        <w:topLinePunct w:val="0"/>
        <w:bidi w:val="0"/>
        <w:adjustRightInd/>
        <w:snapToGrid w:val="0"/>
        <w:spacing w:line="540" w:lineRule="exact"/>
        <w:ind w:left="0" w:leftChars="0" w:firstLine="0" w:firstLineChars="0"/>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val="en-US" w:eastAsia="zh-CN" w:bidi="en-US"/>
        </w:rPr>
        <w:t>18.</w:t>
      </w:r>
      <w:r>
        <w:rPr>
          <w:rFonts w:hint="eastAsia" w:ascii="仿宋_GB2312" w:hAnsi="仿宋_GB2312" w:eastAsia="仿宋_GB2312" w:cs="仿宋_GB2312"/>
          <w:color w:val="auto"/>
          <w:kern w:val="0"/>
          <w:sz w:val="32"/>
          <w:szCs w:val="32"/>
          <w:lang w:eastAsia="zh-CN" w:bidi="en-US"/>
        </w:rPr>
        <w:t>世界健康大会</w:t>
      </w:r>
    </w:p>
    <w:p>
      <w:pPr>
        <w:keepNext w:val="0"/>
        <w:keepLines w:val="0"/>
        <w:pageBreakBefore w:val="0"/>
        <w:numPr>
          <w:ilvl w:val="0"/>
          <w:numId w:val="0"/>
        </w:numPr>
        <w:kinsoku/>
        <w:wordWrap/>
        <w:overflowPunct/>
        <w:topLinePunct w:val="0"/>
        <w:bidi w:val="0"/>
        <w:adjustRightInd/>
        <w:snapToGrid w:val="0"/>
        <w:spacing w:line="54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19.</w:t>
      </w:r>
      <w:r>
        <w:rPr>
          <w:rFonts w:hint="eastAsia" w:ascii="仿宋_GB2312" w:hAnsi="仿宋_GB2312" w:eastAsia="仿宋_GB2312" w:cs="仿宋_GB2312"/>
          <w:color w:val="auto"/>
          <w:kern w:val="0"/>
          <w:sz w:val="32"/>
          <w:szCs w:val="32"/>
          <w:lang w:eastAsia="zh-CN" w:bidi="en-US"/>
        </w:rPr>
        <w:t>千岛湖论坛</w:t>
      </w:r>
    </w:p>
    <w:p>
      <w:pPr>
        <w:keepNext w:val="0"/>
        <w:keepLines w:val="0"/>
        <w:pageBreakBefore w:val="0"/>
        <w:kinsoku/>
        <w:wordWrap/>
        <w:overflowPunct/>
        <w:topLinePunct w:val="0"/>
        <w:bidi w:val="0"/>
        <w:adjustRightInd/>
        <w:snapToGrid w:val="0"/>
        <w:spacing w:line="540" w:lineRule="exact"/>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val="en-US" w:eastAsia="zh-CN" w:bidi="en-US"/>
        </w:rPr>
        <w:t>20.</w:t>
      </w:r>
      <w:r>
        <w:rPr>
          <w:rFonts w:hint="eastAsia" w:ascii="仿宋_GB2312" w:hAnsi="仿宋_GB2312" w:eastAsia="仿宋_GB2312" w:cs="仿宋_GB2312"/>
          <w:color w:val="auto"/>
          <w:kern w:val="0"/>
          <w:sz w:val="32"/>
          <w:szCs w:val="32"/>
          <w:lang w:eastAsia="zh-CN" w:bidi="en-US"/>
        </w:rPr>
        <w:t>梦溪论坛</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21</w:t>
      </w:r>
      <w:r>
        <w:rPr>
          <w:rFonts w:hint="eastAsia" w:ascii="仿宋_GB2312" w:hAnsi="仿宋_GB2312" w:eastAsia="仿宋_GB2312" w:cs="仿宋_GB2312"/>
          <w:color w:val="auto"/>
          <w:kern w:val="0"/>
          <w:sz w:val="32"/>
          <w:szCs w:val="32"/>
          <w:lang w:eastAsia="zh-CN" w:bidi="en-US"/>
        </w:rPr>
        <w:t>.钱塘江论坛</w:t>
      </w:r>
    </w:p>
    <w:p>
      <w:pPr>
        <w:keepNext w:val="0"/>
        <w:keepLines w:val="0"/>
        <w:pageBreakBefore w:val="0"/>
        <w:kinsoku/>
        <w:wordWrap/>
        <w:overflowPunct/>
        <w:topLinePunct w:val="0"/>
        <w:bidi w:val="0"/>
        <w:adjustRightInd/>
        <w:snapToGrid w:val="0"/>
        <w:spacing w:line="540" w:lineRule="exact"/>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22.</w:t>
      </w:r>
      <w:r>
        <w:rPr>
          <w:rFonts w:hint="eastAsia" w:ascii="仿宋_GB2312" w:hAnsi="仿宋_GB2312" w:eastAsia="仿宋_GB2312" w:cs="仿宋_GB2312"/>
          <w:color w:val="auto"/>
          <w:kern w:val="0"/>
          <w:sz w:val="32"/>
          <w:szCs w:val="32"/>
          <w:lang w:eastAsia="zh-CN" w:bidi="en-US"/>
        </w:rPr>
        <w:t>2050大会</w:t>
      </w:r>
    </w:p>
    <w:p>
      <w:pPr>
        <w:keepNext w:val="0"/>
        <w:keepLines w:val="0"/>
        <w:pageBreakBefore w:val="0"/>
        <w:kinsoku/>
        <w:wordWrap/>
        <w:overflowPunct/>
        <w:topLinePunct w:val="0"/>
        <w:adjustRightInd/>
        <w:snapToGrid w:val="0"/>
        <w:spacing w:line="560" w:lineRule="exact"/>
        <w:textAlignment w:val="auto"/>
        <w:outlineLvl w:val="0"/>
        <w:rPr>
          <w:rFonts w:hint="eastAsia" w:ascii="仿宋_GB2312" w:hAnsi="仿宋_GB2312" w:eastAsia="仿宋_GB2312" w:cs="仿宋_GB2312"/>
          <w:color w:val="auto"/>
          <w:sz w:val="30"/>
          <w:szCs w:val="30"/>
          <w:lang w:eastAsia="zh-CN"/>
        </w:rPr>
        <w:sectPr>
          <w:footerReference r:id="rId3" w:type="default"/>
          <w:pgSz w:w="11906" w:h="16838"/>
          <w:pgMar w:top="1440" w:right="1797" w:bottom="1440" w:left="1797" w:header="851" w:footer="283" w:gutter="0"/>
          <w:pgNumType w:fmt="numberInDash"/>
          <w:cols w:space="720" w:num="1"/>
          <w:docGrid w:type="lines" w:linePitch="312" w:charSpace="0"/>
        </w:sectPr>
      </w:pPr>
    </w:p>
    <w:p>
      <w:pPr>
        <w:keepNext w:val="0"/>
        <w:keepLines w:val="0"/>
        <w:pageBreakBefore w:val="0"/>
        <w:kinsoku/>
        <w:wordWrap/>
        <w:overflowPunct/>
        <w:topLinePunct w:val="0"/>
        <w:bidi w:val="0"/>
        <w:adjustRightInd/>
        <w:snapToGrid w:val="0"/>
        <w:spacing w:line="300" w:lineRule="auto"/>
        <w:contextualSpacing/>
        <w:jc w:val="left"/>
        <w:textAlignment w:val="auto"/>
        <w:outlineLvl w:val="0"/>
        <w:rPr>
          <w:rFonts w:ascii="黑体" w:hAnsi="黑体" w:eastAsia="黑体" w:cs="小标宋"/>
          <w:color w:val="auto"/>
          <w:kern w:val="0"/>
          <w:sz w:val="21"/>
          <w:szCs w:val="21"/>
          <w:lang w:eastAsia="zh-CN" w:bidi="en-US"/>
        </w:rPr>
      </w:pPr>
      <w:bookmarkStart w:id="26" w:name="_Toc19900"/>
      <w:bookmarkStart w:id="27" w:name="_Toc459195335"/>
      <w:r>
        <w:rPr>
          <w:rFonts w:ascii="黑体" w:hAnsi="黑体" w:eastAsia="黑体" w:cs="小标宋"/>
          <w:color w:val="auto"/>
          <w:kern w:val="0"/>
          <w:sz w:val="32"/>
          <w:szCs w:val="32"/>
          <w:lang w:eastAsia="zh-CN" w:bidi="en-US"/>
        </w:rPr>
        <w:t>附件</w:t>
      </w:r>
      <w:r>
        <w:rPr>
          <w:rFonts w:hint="eastAsia" w:ascii="黑体" w:hAnsi="黑体" w:eastAsia="黑体" w:cs="小标宋"/>
          <w:color w:val="auto"/>
          <w:kern w:val="0"/>
          <w:sz w:val="32"/>
          <w:szCs w:val="32"/>
          <w:lang w:val="en-US" w:eastAsia="zh-CN" w:bidi="en-US"/>
        </w:rPr>
        <w:t>2</w:t>
      </w:r>
      <w:bookmarkEnd w:id="26"/>
      <w:bookmarkEnd w:id="27"/>
    </w:p>
    <w:p>
      <w:pPr>
        <w:keepNext w:val="0"/>
        <w:keepLines w:val="0"/>
        <w:pageBreakBefore w:val="0"/>
        <w:kinsoku/>
        <w:wordWrap/>
        <w:overflowPunct/>
        <w:topLinePunct w:val="0"/>
        <w:bidi w:val="0"/>
        <w:adjustRightInd/>
        <w:snapToGrid w:val="0"/>
        <w:spacing w:line="560" w:lineRule="exact"/>
        <w:contextualSpacing/>
        <w:jc w:val="center"/>
        <w:textAlignment w:val="auto"/>
        <w:outlineLvl w:val="0"/>
        <w:rPr>
          <w:rFonts w:hint="eastAsia" w:ascii="黑体" w:hAnsi="黑体" w:eastAsia="黑体" w:cs="小标宋"/>
          <w:color w:val="auto"/>
          <w:kern w:val="0"/>
          <w:sz w:val="32"/>
          <w:szCs w:val="32"/>
          <w:lang w:eastAsia="zh-CN" w:bidi="en-US"/>
        </w:rPr>
      </w:pPr>
      <w:bookmarkStart w:id="28" w:name="_Toc319164994"/>
    </w:p>
    <w:p>
      <w:pPr>
        <w:keepNext w:val="0"/>
        <w:keepLines w:val="0"/>
        <w:pageBreakBefore w:val="0"/>
        <w:kinsoku/>
        <w:wordWrap/>
        <w:overflowPunct/>
        <w:topLinePunct w:val="0"/>
        <w:bidi w:val="0"/>
        <w:adjustRightInd/>
        <w:snapToGrid w:val="0"/>
        <w:spacing w:line="560" w:lineRule="exact"/>
        <w:contextualSpacing/>
        <w:jc w:val="center"/>
        <w:textAlignment w:val="auto"/>
        <w:outlineLvl w:val="0"/>
        <w:rPr>
          <w:rFonts w:hint="eastAsia" w:ascii="方正小标宋_GBK" w:hAnsi="方正小标宋_GBK" w:eastAsia="方正小标宋_GBK" w:cs="方正小标宋_GBK"/>
          <w:color w:val="auto"/>
          <w:kern w:val="0"/>
          <w:sz w:val="36"/>
          <w:szCs w:val="36"/>
          <w:lang w:eastAsia="zh-CN" w:bidi="en-US"/>
        </w:rPr>
      </w:pPr>
      <w:r>
        <w:rPr>
          <w:rFonts w:hint="eastAsia" w:ascii="方正小标宋_GBK" w:hAnsi="方正小标宋_GBK" w:eastAsia="方正小标宋_GBK" w:cs="方正小标宋_GBK"/>
          <w:color w:val="auto"/>
          <w:kern w:val="0"/>
          <w:sz w:val="36"/>
          <w:szCs w:val="36"/>
          <w:lang w:eastAsia="zh-CN" w:bidi="en-US"/>
        </w:rPr>
        <w:t>杭州市会展业发展“十四五”规划重点展览项目</w:t>
      </w:r>
      <w:bookmarkEnd w:id="28"/>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w:t>
      </w:r>
      <w:r>
        <w:rPr>
          <w:rFonts w:hint="eastAsia" w:ascii="仿宋_GB2312" w:hAnsi="仿宋_GB2312" w:eastAsia="仿宋_GB2312" w:cs="仿宋_GB2312"/>
          <w:color w:val="auto"/>
          <w:kern w:val="0"/>
          <w:sz w:val="32"/>
          <w:szCs w:val="32"/>
          <w:lang w:eastAsia="zh-CN" w:bidi="en-US"/>
        </w:rPr>
        <w:t>全球数字贸易博览会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w:t>
      </w:r>
      <w:r>
        <w:rPr>
          <w:rFonts w:hint="eastAsia" w:ascii="仿宋_GB2312" w:hAnsi="仿宋_GB2312" w:eastAsia="仿宋_GB2312" w:cs="仿宋_GB2312"/>
          <w:color w:val="auto"/>
          <w:kern w:val="0"/>
          <w:sz w:val="32"/>
          <w:szCs w:val="32"/>
          <w:lang w:eastAsia="zh-CN" w:bidi="en-US"/>
        </w:rPr>
        <w:t>中国国际动漫节</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3.</w:t>
      </w:r>
      <w:r>
        <w:rPr>
          <w:rFonts w:hint="eastAsia" w:ascii="仿宋_GB2312" w:hAnsi="仿宋_GB2312" w:eastAsia="仿宋_GB2312" w:cs="仿宋_GB2312"/>
          <w:color w:val="auto"/>
          <w:kern w:val="0"/>
          <w:sz w:val="32"/>
          <w:szCs w:val="32"/>
          <w:lang w:eastAsia="zh-CN" w:bidi="en-US"/>
        </w:rPr>
        <w:t>中国国际茶叶博览会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4.</w:t>
      </w:r>
      <w:r>
        <w:rPr>
          <w:rFonts w:hint="eastAsia" w:ascii="仿宋_GB2312" w:hAnsi="仿宋_GB2312" w:eastAsia="仿宋_GB2312" w:cs="仿宋_GB2312"/>
          <w:color w:val="auto"/>
          <w:kern w:val="0"/>
          <w:sz w:val="32"/>
          <w:szCs w:val="32"/>
          <w:lang w:eastAsia="zh-CN" w:bidi="en-US"/>
        </w:rPr>
        <w:t>中国国际丝绸博览会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5.</w:t>
      </w:r>
      <w:r>
        <w:rPr>
          <w:rFonts w:hint="eastAsia" w:ascii="仿宋_GB2312" w:hAnsi="仿宋_GB2312" w:eastAsia="仿宋_GB2312" w:cs="仿宋_GB2312"/>
          <w:color w:val="auto"/>
          <w:kern w:val="0"/>
          <w:sz w:val="32"/>
          <w:szCs w:val="32"/>
          <w:lang w:eastAsia="zh-CN" w:bidi="en-US"/>
        </w:rPr>
        <w:t>浙江省农业博览会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6.</w:t>
      </w:r>
      <w:r>
        <w:rPr>
          <w:rFonts w:hint="eastAsia" w:ascii="仿宋_GB2312" w:hAnsi="仿宋_GB2312" w:eastAsia="仿宋_GB2312" w:cs="仿宋_GB2312"/>
          <w:color w:val="auto"/>
          <w:kern w:val="0"/>
          <w:sz w:val="32"/>
          <w:szCs w:val="32"/>
          <w:lang w:eastAsia="zh-CN" w:bidi="en-US"/>
        </w:rPr>
        <w:t>中国（杭州）西湖国际博览会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7.</w:t>
      </w:r>
      <w:r>
        <w:rPr>
          <w:rFonts w:hint="eastAsia" w:ascii="仿宋_GB2312" w:hAnsi="仿宋_GB2312" w:eastAsia="仿宋_GB2312" w:cs="仿宋_GB2312"/>
          <w:color w:val="auto"/>
          <w:kern w:val="0"/>
          <w:sz w:val="32"/>
          <w:szCs w:val="32"/>
          <w:lang w:eastAsia="zh-CN" w:bidi="en-US"/>
        </w:rPr>
        <w:t>世界休闲博览会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8.</w:t>
      </w:r>
      <w:r>
        <w:rPr>
          <w:rFonts w:hint="eastAsia" w:ascii="仿宋_GB2312" w:hAnsi="仿宋_GB2312" w:eastAsia="仿宋_GB2312" w:cs="仿宋_GB2312"/>
          <w:color w:val="auto"/>
          <w:kern w:val="0"/>
          <w:sz w:val="32"/>
          <w:szCs w:val="32"/>
          <w:lang w:eastAsia="zh-CN" w:bidi="en-US"/>
        </w:rPr>
        <w:t>杭州文化创意产业博览会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9.</w:t>
      </w:r>
      <w:r>
        <w:rPr>
          <w:rFonts w:hint="eastAsia" w:ascii="仿宋_GB2312" w:hAnsi="仿宋_GB2312" w:eastAsia="仿宋_GB2312" w:cs="仿宋_GB2312"/>
          <w:color w:val="auto"/>
          <w:kern w:val="0"/>
          <w:sz w:val="32"/>
          <w:szCs w:val="32"/>
          <w:lang w:eastAsia="zh-CN" w:bidi="en-US"/>
        </w:rPr>
        <w:t>中国杭州（国际）电子商务博览会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10.</w:t>
      </w:r>
      <w:r>
        <w:rPr>
          <w:rFonts w:hint="eastAsia" w:ascii="仿宋_GB2312" w:hAnsi="仿宋_GB2312" w:eastAsia="仿宋_GB2312" w:cs="仿宋_GB2312"/>
          <w:color w:val="auto"/>
          <w:kern w:val="0"/>
          <w:sz w:val="32"/>
          <w:szCs w:val="32"/>
          <w:lang w:eastAsia="zh-CN" w:bidi="en-US"/>
        </w:rPr>
        <w:t>中国杭州（国际）美食博览会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11.</w:t>
      </w:r>
      <w:r>
        <w:rPr>
          <w:rFonts w:hint="eastAsia" w:ascii="仿宋_GB2312" w:hAnsi="仿宋_GB2312" w:eastAsia="仿宋_GB2312" w:cs="仿宋_GB2312"/>
          <w:color w:val="auto"/>
          <w:kern w:val="0"/>
          <w:sz w:val="32"/>
          <w:szCs w:val="32"/>
          <w:lang w:eastAsia="zh-CN" w:bidi="en-US"/>
        </w:rPr>
        <w:t>中国（杭州）国际智能产品博览会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12.</w:t>
      </w:r>
      <w:r>
        <w:rPr>
          <w:rFonts w:hint="eastAsia" w:ascii="仿宋_GB2312" w:hAnsi="仿宋_GB2312" w:eastAsia="仿宋_GB2312" w:cs="仿宋_GB2312"/>
          <w:color w:val="auto"/>
          <w:kern w:val="0"/>
          <w:sz w:val="32"/>
          <w:szCs w:val="32"/>
          <w:lang w:eastAsia="zh-CN" w:bidi="en-US"/>
        </w:rPr>
        <w:t>云栖大会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13.</w:t>
      </w:r>
      <w:r>
        <w:rPr>
          <w:rFonts w:hint="eastAsia" w:ascii="仿宋_GB2312" w:hAnsi="仿宋_GB2312" w:eastAsia="仿宋_GB2312" w:cs="仿宋_GB2312"/>
          <w:color w:val="auto"/>
          <w:kern w:val="0"/>
          <w:sz w:val="32"/>
          <w:szCs w:val="32"/>
          <w:lang w:eastAsia="zh-CN" w:bidi="en-US"/>
        </w:rPr>
        <w:t>浙江国际进口（武林洋淘）博览会</w:t>
      </w:r>
    </w:p>
    <w:p>
      <w:pPr>
        <w:keepNext w:val="0"/>
        <w:keepLines w:val="0"/>
        <w:pageBreakBefore w:val="0"/>
        <w:numPr>
          <w:ilvl w:val="0"/>
          <w:numId w:val="0"/>
        </w:numPr>
        <w:kinsoku/>
        <w:wordWrap/>
        <w:overflowPunct/>
        <w:topLinePunct w:val="0"/>
        <w:bidi w:val="0"/>
        <w:adjustRightInd/>
        <w:snapToGrid w:val="0"/>
        <w:spacing w:line="560" w:lineRule="exact"/>
        <w:ind w:left="2880" w:leftChars="0" w:hanging="2880" w:hangingChars="90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14.</w:t>
      </w:r>
      <w:r>
        <w:rPr>
          <w:rFonts w:hint="eastAsia" w:ascii="仿宋_GB2312" w:hAnsi="仿宋_GB2312" w:eastAsia="仿宋_GB2312" w:cs="仿宋_GB2312"/>
          <w:color w:val="auto"/>
          <w:kern w:val="0"/>
          <w:sz w:val="32"/>
          <w:szCs w:val="32"/>
          <w:lang w:eastAsia="zh-CN" w:bidi="en-US"/>
        </w:rPr>
        <w:t>杭州（国际）未来生活节</w:t>
      </w:r>
    </w:p>
    <w:p>
      <w:pPr>
        <w:keepNext w:val="0"/>
        <w:keepLines w:val="0"/>
        <w:pageBreakBefore w:val="0"/>
        <w:numPr>
          <w:ilvl w:val="0"/>
          <w:numId w:val="0"/>
        </w:numPr>
        <w:kinsoku/>
        <w:wordWrap/>
        <w:overflowPunct/>
        <w:topLinePunct w:val="0"/>
        <w:bidi w:val="0"/>
        <w:adjustRightInd/>
        <w:snapToGrid w:val="0"/>
        <w:spacing w:line="560" w:lineRule="exact"/>
        <w:ind w:left="4800" w:leftChars="0" w:hanging="4800" w:hangingChars="150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15.</w:t>
      </w:r>
      <w:r>
        <w:rPr>
          <w:rFonts w:hint="eastAsia" w:ascii="仿宋_GB2312" w:hAnsi="仿宋_GB2312" w:eastAsia="仿宋_GB2312" w:cs="仿宋_GB2312"/>
          <w:color w:val="auto"/>
          <w:kern w:val="0"/>
          <w:sz w:val="32"/>
          <w:szCs w:val="32"/>
          <w:lang w:eastAsia="zh-CN" w:bidi="en-US"/>
        </w:rPr>
        <w:t>杭州艺术博览会（art 杭州）</w:t>
      </w:r>
    </w:p>
    <w:p>
      <w:pPr>
        <w:keepNext w:val="0"/>
        <w:keepLines w:val="0"/>
        <w:pageBreakBefore w:val="0"/>
        <w:numPr>
          <w:ilvl w:val="0"/>
          <w:numId w:val="0"/>
        </w:numPr>
        <w:kinsoku/>
        <w:wordWrap/>
        <w:overflowPunct/>
        <w:topLinePunct w:val="0"/>
        <w:bidi w:val="0"/>
        <w:adjustRightInd/>
        <w:snapToGrid w:val="0"/>
        <w:spacing w:line="560" w:lineRule="exact"/>
        <w:ind w:left="2880" w:leftChars="0" w:hanging="2880" w:hangingChars="90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16.</w:t>
      </w:r>
      <w:r>
        <w:rPr>
          <w:rFonts w:hint="eastAsia" w:ascii="仿宋_GB2312" w:hAnsi="仿宋_GB2312" w:eastAsia="仿宋_GB2312" w:cs="仿宋_GB2312"/>
          <w:color w:val="auto"/>
          <w:kern w:val="0"/>
          <w:sz w:val="32"/>
          <w:szCs w:val="32"/>
          <w:lang w:eastAsia="zh-CN" w:bidi="en-US"/>
        </w:rPr>
        <w:t>亚洲设计管理论坛暨生活创新展</w:t>
      </w:r>
    </w:p>
    <w:p>
      <w:pPr>
        <w:keepNext w:val="0"/>
        <w:keepLines w:val="0"/>
        <w:pageBreakBefore w:val="0"/>
        <w:numPr>
          <w:ilvl w:val="0"/>
          <w:numId w:val="0"/>
        </w:numPr>
        <w:kinsoku/>
        <w:wordWrap/>
        <w:overflowPunct/>
        <w:topLinePunct w:val="0"/>
        <w:bidi w:val="0"/>
        <w:adjustRightInd/>
        <w:snapToGrid w:val="0"/>
        <w:spacing w:line="560" w:lineRule="exact"/>
        <w:ind w:left="6400" w:leftChars="0" w:hanging="6400" w:hangingChars="200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eastAsia="仿宋_GB2312" w:cs="仿宋"/>
          <w:color w:val="000000"/>
          <w:sz w:val="32"/>
          <w:szCs w:val="32"/>
          <w:lang w:val="en-US" w:eastAsia="zh-CN"/>
        </w:rPr>
        <w:t>17.</w:t>
      </w:r>
      <w:r>
        <w:rPr>
          <w:rFonts w:hint="eastAsia" w:ascii="仿宋_GB2312" w:eastAsia="仿宋_GB2312" w:cs="仿宋"/>
          <w:color w:val="000000"/>
          <w:sz w:val="32"/>
          <w:szCs w:val="32"/>
        </w:rPr>
        <w:t>浙里来消费”金秋购物节暨“双十一”数字消费节</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18.</w:t>
      </w:r>
      <w:r>
        <w:rPr>
          <w:rFonts w:hint="eastAsia" w:ascii="仿宋_GB2312" w:hAnsi="仿宋_GB2312" w:eastAsia="仿宋_GB2312" w:cs="仿宋_GB2312"/>
          <w:color w:val="auto"/>
          <w:kern w:val="0"/>
          <w:sz w:val="32"/>
          <w:szCs w:val="32"/>
          <w:lang w:eastAsia="zh-CN" w:bidi="en-US"/>
        </w:rPr>
        <w:t>西湖艺术博览会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19.</w:t>
      </w:r>
      <w:r>
        <w:rPr>
          <w:rFonts w:hint="eastAsia" w:ascii="仿宋_GB2312" w:hAnsi="仿宋_GB2312" w:eastAsia="仿宋_GB2312" w:cs="仿宋_GB2312"/>
          <w:color w:val="auto"/>
          <w:kern w:val="0"/>
          <w:sz w:val="32"/>
          <w:szCs w:val="32"/>
          <w:lang w:eastAsia="zh-CN" w:bidi="en-US"/>
        </w:rPr>
        <w:t>淘宝造物节</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20.</w:t>
      </w:r>
      <w:r>
        <w:rPr>
          <w:rFonts w:hint="eastAsia" w:ascii="仿宋_GB2312" w:hAnsi="仿宋_GB2312" w:eastAsia="仿宋_GB2312" w:cs="仿宋_GB2312"/>
          <w:color w:val="auto"/>
          <w:kern w:val="0"/>
          <w:sz w:val="32"/>
          <w:szCs w:val="32"/>
          <w:lang w:eastAsia="zh-CN" w:bidi="en-US"/>
        </w:rPr>
        <w:t>阿里巴巴云上会展</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21.</w:t>
      </w:r>
      <w:r>
        <w:rPr>
          <w:rFonts w:hint="eastAsia" w:ascii="仿宋_GB2312" w:hAnsi="仿宋_GB2312" w:eastAsia="仿宋_GB2312" w:cs="仿宋_GB2312"/>
          <w:color w:val="auto"/>
          <w:kern w:val="0"/>
          <w:sz w:val="32"/>
          <w:szCs w:val="32"/>
          <w:lang w:eastAsia="zh-CN" w:bidi="en-US"/>
        </w:rPr>
        <w:t>中国杭州国际汽车工业展览会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22.</w:t>
      </w:r>
      <w:r>
        <w:rPr>
          <w:rFonts w:hint="eastAsia" w:ascii="仿宋_GB2312" w:hAnsi="仿宋_GB2312" w:eastAsia="仿宋_GB2312" w:cs="仿宋_GB2312"/>
          <w:color w:val="auto"/>
          <w:kern w:val="0"/>
          <w:sz w:val="32"/>
          <w:szCs w:val="32"/>
          <w:lang w:eastAsia="zh-CN" w:bidi="en-US"/>
        </w:rPr>
        <w:t>中国国际模型博览会</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eastAsia="zh-CN" w:bidi="en-US"/>
        </w:rPr>
      </w:pPr>
      <w:r>
        <w:rPr>
          <w:rFonts w:hint="eastAsia" w:ascii="仿宋_GB2312" w:hAnsi="仿宋_GB2312" w:eastAsia="仿宋_GB2312" w:cs="仿宋_GB2312"/>
          <w:color w:val="auto"/>
          <w:kern w:val="0"/>
          <w:sz w:val="32"/>
          <w:szCs w:val="32"/>
          <w:lang w:val="en-US" w:eastAsia="zh-CN" w:bidi="en-US"/>
        </w:rPr>
        <w:t>23.</w:t>
      </w:r>
      <w:r>
        <w:rPr>
          <w:rFonts w:hint="eastAsia" w:ascii="仿宋_GB2312" w:hAnsi="仿宋_GB2312" w:eastAsia="仿宋_GB2312" w:cs="仿宋_GB2312"/>
          <w:color w:val="auto"/>
          <w:kern w:val="0"/>
          <w:sz w:val="32"/>
          <w:szCs w:val="32"/>
          <w:lang w:eastAsia="zh-CN" w:bidi="en-US"/>
        </w:rPr>
        <w:t>浙江电竞节暨浙江国际数字体育娱乐展</w:t>
      </w:r>
    </w:p>
    <w:p>
      <w:pPr>
        <w:keepNext w:val="0"/>
        <w:keepLines w:val="0"/>
        <w:pageBreakBefore w:val="0"/>
        <w:numPr>
          <w:ilvl w:val="0"/>
          <w:numId w:val="0"/>
        </w:numPr>
        <w:kinsoku/>
        <w:wordWrap/>
        <w:overflowPunct/>
        <w:topLinePunct w:val="0"/>
        <w:bidi w:val="0"/>
        <w:adjustRightInd/>
        <w:snapToGrid w:val="0"/>
        <w:spacing w:line="560" w:lineRule="exact"/>
        <w:ind w:left="0" w:leftChars="0" w:firstLine="0" w:firstLineChars="0"/>
        <w:jc w:val="left"/>
        <w:textAlignment w:val="auto"/>
        <w:rPr>
          <w:rFonts w:hint="eastAsia" w:ascii="仿宋_GB2312" w:hAnsi="仿宋_GB2312" w:eastAsia="仿宋_GB2312" w:cs="仿宋_GB2312"/>
          <w:color w:val="auto"/>
          <w:kern w:val="0"/>
          <w:sz w:val="32"/>
          <w:szCs w:val="32"/>
          <w:lang w:val="en-US" w:eastAsia="zh-CN" w:bidi="en-US"/>
        </w:rPr>
      </w:pPr>
      <w:r>
        <w:rPr>
          <w:rFonts w:hint="eastAsia" w:ascii="仿宋_GB2312" w:hAnsi="仿宋_GB2312" w:eastAsia="仿宋_GB2312" w:cs="仿宋_GB2312"/>
          <w:color w:val="auto"/>
          <w:kern w:val="0"/>
          <w:sz w:val="32"/>
          <w:szCs w:val="32"/>
          <w:lang w:val="en-US" w:eastAsia="zh-CN" w:bidi="en-US"/>
        </w:rPr>
        <w:t>24.浙江国际智慧交通产业博览会</w:t>
      </w:r>
    </w:p>
    <w:p>
      <w:pPr>
        <w:keepNext w:val="0"/>
        <w:keepLines w:val="0"/>
        <w:pageBreakBefore w:val="0"/>
        <w:numPr>
          <w:ilvl w:val="0"/>
          <w:numId w:val="0"/>
        </w:numPr>
        <w:kinsoku/>
        <w:wordWrap/>
        <w:overflowPunct/>
        <w:topLinePunct w:val="0"/>
        <w:adjustRightInd/>
        <w:snapToGrid w:val="0"/>
        <w:spacing w:line="560" w:lineRule="exact"/>
        <w:ind w:left="0" w:leftChars="0" w:firstLine="0" w:firstLineChars="0"/>
        <w:jc w:val="left"/>
        <w:textAlignment w:val="auto"/>
        <w:rPr>
          <w:rFonts w:hint="default" w:ascii="仿宋_GB2312" w:hAnsi="仿宋_GB2312" w:eastAsia="仿宋_GB2312" w:cs="仿宋_GB2312"/>
          <w:color w:val="auto"/>
          <w:kern w:val="0"/>
          <w:sz w:val="32"/>
          <w:szCs w:val="32"/>
          <w:lang w:val="en-US" w:eastAsia="zh-CN" w:bidi="en-US"/>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lang w:val="en-US" w:eastAsia="zh-CN" w:bidi="en-US"/>
        </w:rPr>
        <w:t>25.中国国际网络文化博览会</w:t>
      </w:r>
    </w:p>
    <w:p>
      <w:pPr>
        <w:keepNext/>
        <w:keepLines/>
        <w:pageBreakBefore w:val="0"/>
        <w:widowControl/>
        <w:kinsoku/>
        <w:wordWrap/>
        <w:overflowPunct/>
        <w:topLinePunct w:val="0"/>
        <w:bidi w:val="0"/>
        <w:snapToGrid w:val="0"/>
        <w:spacing w:before="0" w:beforeLines="0" w:beforeAutospacing="0" w:after="0" w:afterLines="0" w:afterAutospacing="0" w:line="240" w:lineRule="auto"/>
        <w:contextualSpacing/>
        <w:textAlignment w:val="auto"/>
        <w:outlineLvl w:val="0"/>
        <w:rPr>
          <w:rFonts w:hint="eastAsia" w:ascii="黑体" w:hAnsi="黑体" w:eastAsia="黑体" w:cs="小标宋"/>
          <w:b w:val="0"/>
          <w:bCs/>
          <w:color w:val="auto"/>
          <w:sz w:val="32"/>
          <w:szCs w:val="32"/>
          <w:lang w:val="en-US" w:bidi="en-US"/>
        </w:rPr>
      </w:pPr>
      <w:bookmarkStart w:id="29" w:name="_Toc1239248530"/>
      <w:bookmarkStart w:id="30" w:name="_Toc23523"/>
      <w:r>
        <w:rPr>
          <w:rFonts w:ascii="黑体" w:hAnsi="黑体" w:eastAsia="黑体" w:cs="小标宋"/>
          <w:b w:val="0"/>
          <w:bCs/>
          <w:color w:val="auto"/>
          <w:sz w:val="32"/>
          <w:szCs w:val="32"/>
          <w:lang w:val="en-US" w:eastAsia="zh-CN" w:bidi="en-US"/>
        </w:rPr>
        <w:t>附件</w:t>
      </w:r>
      <w:r>
        <w:rPr>
          <w:rFonts w:hint="eastAsia" w:ascii="黑体" w:hAnsi="黑体" w:eastAsia="黑体" w:cs="小标宋"/>
          <w:b w:val="0"/>
          <w:bCs/>
          <w:color w:val="auto"/>
          <w:sz w:val="32"/>
          <w:szCs w:val="32"/>
          <w:lang w:val="en-US" w:eastAsia="zh-CN" w:bidi="en-US"/>
        </w:rPr>
        <w:t>3</w:t>
      </w:r>
      <w:bookmarkEnd w:id="29"/>
      <w:bookmarkEnd w:id="30"/>
      <w:bookmarkStart w:id="31" w:name="_Toc1829522095"/>
      <w:r>
        <w:rPr>
          <w:rFonts w:hint="eastAsia" w:ascii="黑体" w:hAnsi="黑体" w:eastAsia="黑体" w:cs="小标宋"/>
          <w:b w:val="0"/>
          <w:bCs/>
          <w:color w:val="auto"/>
          <w:sz w:val="32"/>
          <w:szCs w:val="32"/>
          <w:lang w:val="en-US" w:bidi="en-US"/>
        </w:rPr>
        <w:t xml:space="preserve">             </w:t>
      </w:r>
    </w:p>
    <w:p>
      <w:pPr>
        <w:keepNext/>
        <w:keepLines/>
        <w:pageBreakBefore w:val="0"/>
        <w:widowControl/>
        <w:kinsoku/>
        <w:wordWrap/>
        <w:overflowPunct/>
        <w:topLinePunct w:val="0"/>
        <w:bidi w:val="0"/>
        <w:snapToGrid w:val="0"/>
        <w:spacing w:before="0" w:beforeLines="0" w:beforeAutospacing="0" w:after="0" w:afterLines="0" w:afterAutospacing="0" w:line="240" w:lineRule="auto"/>
        <w:contextualSpacing/>
        <w:jc w:val="center"/>
        <w:textAlignment w:val="auto"/>
        <w:outlineLvl w:val="0"/>
        <w:rPr>
          <w:rFonts w:hint="eastAsia" w:ascii="方正小标宋_GBK" w:hAnsi="方正小标宋_GBK" w:eastAsia="方正小标宋_GBK" w:cs="方正小标宋_GBK"/>
          <w:b w:val="0"/>
          <w:bCs/>
          <w:color w:val="auto"/>
          <w:sz w:val="36"/>
          <w:szCs w:val="36"/>
          <w:lang w:val="en-US" w:eastAsia="zh-CN" w:bidi="en-US"/>
        </w:rPr>
      </w:pPr>
      <w:r>
        <w:rPr>
          <w:rFonts w:hint="eastAsia" w:ascii="方正小标宋_GBK" w:hAnsi="方正小标宋_GBK" w:eastAsia="方正小标宋_GBK" w:cs="方正小标宋_GBK"/>
          <w:b w:val="0"/>
          <w:bCs/>
          <w:color w:val="auto"/>
          <w:sz w:val="36"/>
          <w:szCs w:val="36"/>
          <w:lang w:val="en-US" w:eastAsia="zh-CN" w:bidi="en-US"/>
        </w:rPr>
        <w:t>杭州市会展业发展“十四五”规划重点会展场馆设施表</w:t>
      </w:r>
      <w:bookmarkEnd w:id="31"/>
    </w:p>
    <w:tbl>
      <w:tblPr>
        <w:tblStyle w:val="4"/>
        <w:tblpPr w:leftFromText="180" w:rightFromText="180" w:vertAnchor="text" w:horzAnchor="page" w:tblpX="1508" w:tblpY="8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627"/>
        <w:gridCol w:w="4637"/>
        <w:gridCol w:w="1718"/>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黑体" w:hAnsi="黑体" w:eastAsia="黑体" w:cs="黑体"/>
                <w:b w:val="0"/>
                <w:bCs w:val="0"/>
                <w:color w:val="auto"/>
                <w:kern w:val="0"/>
                <w:sz w:val="24"/>
                <w:szCs w:val="24"/>
                <w:lang w:eastAsia="zh-CN" w:bidi="en-US"/>
              </w:rPr>
            </w:pPr>
            <w:r>
              <w:rPr>
                <w:rFonts w:hint="eastAsia" w:ascii="黑体" w:hAnsi="黑体" w:eastAsia="黑体" w:cs="黑体"/>
                <w:b w:val="0"/>
                <w:bCs w:val="0"/>
                <w:color w:val="auto"/>
                <w:kern w:val="0"/>
                <w:sz w:val="24"/>
                <w:szCs w:val="24"/>
                <w:lang w:eastAsia="zh-CN" w:bidi="en-US"/>
              </w:rPr>
              <w:t>序号</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黑体" w:hAnsi="黑体" w:eastAsia="黑体" w:cs="黑体"/>
                <w:b w:val="0"/>
                <w:bCs w:val="0"/>
                <w:color w:val="auto"/>
                <w:kern w:val="0"/>
                <w:sz w:val="24"/>
                <w:szCs w:val="24"/>
                <w:lang w:eastAsia="en-US" w:bidi="en-US"/>
              </w:rPr>
            </w:pPr>
            <w:r>
              <w:rPr>
                <w:rFonts w:hint="eastAsia" w:ascii="黑体" w:hAnsi="黑体" w:eastAsia="黑体" w:cs="黑体"/>
                <w:b w:val="0"/>
                <w:bCs w:val="0"/>
                <w:color w:val="auto"/>
                <w:kern w:val="0"/>
                <w:sz w:val="24"/>
                <w:szCs w:val="24"/>
                <w:lang w:eastAsia="en-US" w:bidi="en-US"/>
              </w:rPr>
              <w:t>场馆名称</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黑体" w:hAnsi="黑体" w:eastAsia="黑体" w:cs="黑体"/>
                <w:b w:val="0"/>
                <w:bCs w:val="0"/>
                <w:color w:val="auto"/>
                <w:kern w:val="0"/>
                <w:sz w:val="24"/>
                <w:szCs w:val="24"/>
                <w:lang w:eastAsia="en-US" w:bidi="en-US"/>
              </w:rPr>
            </w:pPr>
            <w:r>
              <w:rPr>
                <w:rFonts w:hint="eastAsia" w:ascii="黑体" w:hAnsi="黑体" w:eastAsia="黑体" w:cs="黑体"/>
                <w:b w:val="0"/>
                <w:bCs w:val="0"/>
                <w:color w:val="auto"/>
                <w:kern w:val="0"/>
                <w:sz w:val="24"/>
                <w:szCs w:val="24"/>
                <w:lang w:eastAsia="en-US" w:bidi="en-US"/>
              </w:rPr>
              <w:t>位置</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黑体" w:hAnsi="黑体" w:eastAsia="黑体" w:cs="黑体"/>
                <w:b w:val="0"/>
                <w:bCs w:val="0"/>
                <w:color w:val="auto"/>
                <w:kern w:val="0"/>
                <w:sz w:val="24"/>
                <w:szCs w:val="24"/>
                <w:lang w:eastAsia="en-US" w:bidi="en-US"/>
              </w:rPr>
            </w:pPr>
            <w:r>
              <w:rPr>
                <w:rFonts w:hint="eastAsia" w:ascii="黑体" w:hAnsi="黑体" w:eastAsia="黑体" w:cs="黑体"/>
                <w:b w:val="0"/>
                <w:bCs w:val="0"/>
                <w:color w:val="auto"/>
                <w:kern w:val="0"/>
                <w:sz w:val="24"/>
                <w:szCs w:val="24"/>
                <w:lang w:eastAsia="en-US" w:bidi="en-US"/>
              </w:rPr>
              <w:t>建筑面积</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黑体" w:hAnsi="黑体" w:eastAsia="黑体" w:cs="黑体"/>
                <w:b w:val="0"/>
                <w:bCs w:val="0"/>
                <w:color w:val="auto"/>
                <w:kern w:val="0"/>
                <w:sz w:val="24"/>
                <w:szCs w:val="24"/>
                <w:lang w:eastAsia="en-US" w:bidi="en-US"/>
              </w:rPr>
            </w:pPr>
            <w:r>
              <w:rPr>
                <w:rFonts w:hint="eastAsia" w:ascii="黑体" w:hAnsi="黑体" w:eastAsia="黑体" w:cs="黑体"/>
                <w:b w:val="0"/>
                <w:bCs w:val="0"/>
                <w:color w:val="auto"/>
                <w:kern w:val="0"/>
                <w:sz w:val="24"/>
                <w:szCs w:val="24"/>
                <w:lang w:eastAsia="en-US" w:bidi="en-US"/>
              </w:rPr>
              <w:t>可使用展览面积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1</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杭州国际博览中心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杭州市萧山区钱江世纪城</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85万㎡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9万㎡（一期）</w:t>
            </w:r>
          </w:p>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6万㎡（二期）待建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2</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杭州白马湖国际会展中心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杭州滨江区白马湖生态创意城内</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11万㎡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6.5万㎡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3</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浙江新农都会展中心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杭州钱塘江南岸</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3.3万㎡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4</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杭州未来科技城学术交流中心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未来科技城核心区域</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2.56万㎡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default"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5</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云栖小镇国际会展中心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杭州之江国家旅游度假区核心区块</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8.6万㎡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6</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杭州大会展中心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会展新城启动区内</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124万㎡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15万㎡（一期）待建</w:t>
            </w:r>
          </w:p>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15万㎡（二期）规划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7</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白石国际贸易文化交流中心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杭州市江干区火车东站以东</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4.5万㎡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1.4万㎡（规划）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default" w:ascii="仿宋_GB2312" w:hAnsi="仿宋_GB2312" w:eastAsia="仿宋_GB2312" w:cs="仿宋_GB2312"/>
                <w:color w:val="auto"/>
                <w:kern w:val="0"/>
                <w:sz w:val="24"/>
                <w:szCs w:val="24"/>
                <w:lang w:val="en-US" w:eastAsia="zh-CN" w:bidi="en-US"/>
              </w:rPr>
            </w:pPr>
            <w:r>
              <w:rPr>
                <w:rFonts w:hint="eastAsia" w:ascii="仿宋_GB2312" w:hAnsi="仿宋_GB2312" w:eastAsia="仿宋_GB2312" w:cs="仿宋_GB2312"/>
                <w:color w:val="auto"/>
                <w:kern w:val="0"/>
                <w:sz w:val="24"/>
                <w:szCs w:val="24"/>
                <w:lang w:val="en-US" w:eastAsia="zh-CN" w:bidi="en-US"/>
              </w:rPr>
              <w:t>8</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杭州茶叶博览会会议会展中心</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zh-CN" w:bidi="en-US"/>
              </w:rPr>
            </w:pPr>
            <w:r>
              <w:rPr>
                <w:rFonts w:hint="eastAsia" w:ascii="仿宋_GB2312" w:hAnsi="仿宋_GB2312" w:eastAsia="仿宋_GB2312" w:cs="仿宋_GB2312"/>
                <w:color w:val="auto"/>
                <w:kern w:val="0"/>
                <w:sz w:val="24"/>
                <w:szCs w:val="24"/>
                <w:lang w:eastAsia="zh-CN" w:bidi="en-US"/>
              </w:rPr>
              <w:t>杭州市西湖区龙坞区块</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9万㎡</w:t>
            </w:r>
          </w:p>
        </w:tc>
        <w:tc>
          <w:tcPr>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bidi w:val="0"/>
              <w:snapToGrid w:val="0"/>
              <w:spacing w:line="240" w:lineRule="exact"/>
              <w:jc w:val="center"/>
              <w:textAlignment w:val="auto"/>
              <w:rPr>
                <w:rFonts w:hint="eastAsia" w:ascii="仿宋_GB2312" w:hAnsi="仿宋_GB2312" w:eastAsia="仿宋_GB2312" w:cs="仿宋_GB2312"/>
                <w:color w:val="auto"/>
                <w:kern w:val="0"/>
                <w:sz w:val="24"/>
                <w:szCs w:val="24"/>
                <w:lang w:eastAsia="en-US" w:bidi="en-US"/>
              </w:rPr>
            </w:pPr>
            <w:r>
              <w:rPr>
                <w:rFonts w:hint="eastAsia" w:ascii="仿宋_GB2312" w:hAnsi="仿宋_GB2312" w:eastAsia="仿宋_GB2312" w:cs="仿宋_GB2312"/>
                <w:color w:val="auto"/>
                <w:kern w:val="0"/>
                <w:sz w:val="24"/>
                <w:szCs w:val="24"/>
                <w:lang w:eastAsia="en-US" w:bidi="en-US"/>
              </w:rPr>
              <w:t>约7万㎡（待建）</w:t>
            </w:r>
          </w:p>
        </w:tc>
      </w:tr>
    </w:tbl>
    <w:p>
      <w:pPr>
        <w:keepNext/>
        <w:keepLines/>
        <w:pageBreakBefore w:val="0"/>
        <w:widowControl/>
        <w:kinsoku/>
        <w:wordWrap/>
        <w:overflowPunct/>
        <w:topLinePunct w:val="0"/>
        <w:bidi w:val="0"/>
        <w:snapToGrid w:val="0"/>
        <w:spacing w:before="0" w:beforeLines="0" w:beforeAutospacing="0" w:after="0" w:afterLines="0" w:afterAutospacing="0" w:line="240" w:lineRule="auto"/>
        <w:contextualSpacing/>
        <w:jc w:val="center"/>
        <w:textAlignment w:val="auto"/>
        <w:outlineLvl w:val="0"/>
        <w:rPr>
          <w:rFonts w:hint="eastAsia" w:ascii="黑体" w:hAnsi="黑体" w:eastAsia="黑体" w:cs="小标宋"/>
          <w:b w:val="0"/>
          <w:bCs/>
          <w:color w:val="auto"/>
          <w:sz w:val="32"/>
          <w:szCs w:val="32"/>
          <w:lang w:val="en-US" w:eastAsia="zh-CN" w:bidi="en-US"/>
        </w:rPr>
      </w:pPr>
    </w:p>
    <w:p>
      <w:pPr>
        <w:sectPr>
          <w:pgSz w:w="16838" w:h="11906" w:orient="landscape"/>
          <w:pgMar w:top="1797" w:right="1440" w:bottom="1797" w:left="1440" w:header="851" w:footer="992" w:gutter="0"/>
          <w:pgNumType w:fmt="numberInDash"/>
          <w:cols w:space="720" w:num="1"/>
          <w:docGrid w:type="lines" w:linePitch="312" w:charSpace="0"/>
        </w:sectPr>
      </w:pPr>
    </w:p>
    <w:p/>
    <w:p/>
    <w:p/>
    <w:p/>
    <w:p/>
    <w:p/>
    <w:p/>
    <w:p/>
    <w:p/>
    <w:p/>
    <w:p/>
    <w:p/>
    <w:p/>
    <w:p/>
    <w:p/>
    <w:p/>
    <w:p/>
    <w:p/>
    <w:p/>
    <w:p/>
    <w:p/>
    <w:p/>
    <w:p/>
    <w:p/>
    <w:p/>
    <w:p/>
    <w:p/>
    <w:p/>
    <w:p/>
    <w:p/>
    <w:p/>
    <w:p/>
    <w:p/>
    <w:p/>
    <w:p/>
    <w:p/>
    <w:p/>
    <w:p>
      <w:pPr>
        <w:spacing w:line="520" w:lineRule="exact"/>
        <w:ind w:firstLine="210" w:firstLineChars="100"/>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24765</wp:posOffset>
                </wp:positionV>
                <wp:extent cx="5600700" cy="0"/>
                <wp:effectExtent l="0" t="0" r="0" b="0"/>
                <wp:wrapNone/>
                <wp:docPr id="3" name="直线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0pt;margin-top:1.95pt;height:0pt;width:441pt;z-index:251660288;mso-width-relative:page;mso-height-relative:page;" filled="f" stroked="t" coordsize="21600,21600" o:gfxdata="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Fxuql0gAAAAQBAAAP&#10;AAAAAAAAAAEAIAAAADgAAABkcnMvZG93bnJldi54bWxQSwECFAAUAAAACACHTuJAROGX8s8BAACQ&#10;AwAADgAAAAAAAAABACAAAAA3AQAAZHJzL2Uyb0RvYy54bWxQSwUGAAAAAAYABgBZAQAAe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361315</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pt;margin-top:28.45pt;height:0pt;width:441pt;z-index:251661312;mso-width-relative:page;mso-height-relative:page;" filled="f" stroked="t" coordsize="21600,21600" o:gfxdata="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H9lqeNUAAAAGAQAA&#10;DwAAAAAAAAABACAAAAA4AAAAZHJzL2Rvd25yZXYueG1sUEsBAhQAFAAAAAgAh07iQN1nEyTNAQAA&#10;kQMAAA4AAAAAAAAAAQAgAAAAOgEAAGRycy9lMm9Eb2MueG1sUEsFBgAAAAAGAAYAWQEAAHkFAAAA&#10;AA==&#10;">
                <v:fill on="f" focussize="0,0"/>
                <v:stroke weight="1pt" color="#000000" joinstyle="round"/>
                <v:imagedata o:title=""/>
                <o:lock v:ext="edit" aspectratio="f"/>
              </v:line>
            </w:pict>
          </mc:Fallback>
        </mc:AlternateContent>
      </w:r>
      <w:r>
        <w:rPr>
          <w:rFonts w:hint="eastAsia" w:ascii="仿宋_GB2312" w:eastAsia="仿宋_GB2312"/>
          <w:spacing w:val="-6"/>
          <w:sz w:val="28"/>
          <w:szCs w:val="28"/>
        </w:rPr>
        <w:t>杭州市商务局办公室                          202</w:t>
      </w:r>
      <w:r>
        <w:rPr>
          <w:rFonts w:hint="eastAsia" w:ascii="仿宋_GB2312" w:eastAsia="仿宋_GB2312"/>
          <w:spacing w:val="-6"/>
          <w:sz w:val="28"/>
          <w:szCs w:val="28"/>
          <w:lang w:val="en-US" w:eastAsia="zh-CN"/>
        </w:rPr>
        <w:t>1</w:t>
      </w:r>
      <w:r>
        <w:rPr>
          <w:rFonts w:hint="eastAsia" w:ascii="仿宋_GB2312" w:eastAsia="仿宋_GB2312"/>
          <w:spacing w:val="-6"/>
          <w:sz w:val="28"/>
          <w:szCs w:val="28"/>
        </w:rPr>
        <w:t>年</w:t>
      </w:r>
      <w:r>
        <w:rPr>
          <w:rFonts w:hint="eastAsia" w:ascii="仿宋_GB2312" w:eastAsia="仿宋_GB2312"/>
          <w:spacing w:val="-6"/>
          <w:sz w:val="28"/>
          <w:szCs w:val="28"/>
          <w:lang w:val="en-US" w:eastAsia="zh-CN"/>
        </w:rPr>
        <w:t>8</w:t>
      </w:r>
      <w:r>
        <w:rPr>
          <w:rFonts w:hint="eastAsia" w:ascii="仿宋_GB2312" w:eastAsia="仿宋_GB2312"/>
          <w:spacing w:val="-6"/>
          <w:sz w:val="28"/>
          <w:szCs w:val="28"/>
        </w:rPr>
        <w:t>月</w:t>
      </w:r>
      <w:r>
        <w:rPr>
          <w:rFonts w:hint="eastAsia" w:ascii="仿宋_GB2312" w:eastAsia="仿宋_GB2312"/>
          <w:spacing w:val="-6"/>
          <w:sz w:val="28"/>
          <w:szCs w:val="28"/>
          <w:lang w:val="en-US" w:eastAsia="zh-CN"/>
        </w:rPr>
        <w:t>13</w:t>
      </w:r>
      <w:r>
        <w:rPr>
          <w:rFonts w:hint="eastAsia" w:ascii="仿宋_GB2312" w:eastAsia="仿宋_GB2312"/>
          <w:spacing w:val="-6"/>
          <w:sz w:val="28"/>
          <w:szCs w:val="28"/>
        </w:rPr>
        <w:t>日印发</w:t>
      </w:r>
    </w:p>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altName w:val="Noto Sans Syriac Easter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方正小标宋_GBK"/>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after="200" w:afterAutospacing="0" w:line="276" w:lineRule="auto"/>
      <w:jc w:val="center"/>
      <w:rPr>
        <w:rFonts w:ascii="Calibri" w:hAnsi="Calibri" w:eastAsia="宋体" w:cs="Times New Roman"/>
        <w:sz w:val="18"/>
        <w:szCs w:val="18"/>
        <w:lang w:val="en-US" w:eastAsia="en-US" w:bidi="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spacing w:after="200" w:afterAutospacing="0" w:line="276" w:lineRule="auto"/>
                            <w:jc w:val="center"/>
                            <w:rPr>
                              <w:rFonts w:hint="eastAsia" w:ascii="宋体" w:hAnsi="宋体" w:eastAsia="宋体" w:cs="宋体"/>
                              <w:sz w:val="28"/>
                              <w:szCs w:val="28"/>
                            </w:rPr>
                          </w:pPr>
                          <w:r>
                            <w:rPr>
                              <w:rFonts w:hint="eastAsia" w:ascii="宋体" w:hAnsi="宋体" w:eastAsia="宋体" w:cs="宋体"/>
                              <w:sz w:val="28"/>
                              <w:szCs w:val="28"/>
                              <w:lang w:val="en-US" w:eastAsia="en-US" w:bidi="en-US"/>
                            </w:rPr>
                            <w:fldChar w:fldCharType="begin"/>
                          </w:r>
                          <w:r>
                            <w:rPr>
                              <w:rFonts w:hint="eastAsia" w:ascii="宋体" w:hAnsi="宋体" w:eastAsia="宋体" w:cs="宋体"/>
                              <w:sz w:val="28"/>
                              <w:szCs w:val="28"/>
                              <w:lang w:val="en-US" w:eastAsia="en-US" w:bidi="en-US"/>
                            </w:rPr>
                            <w:instrText xml:space="preserve"> PAGE   \* MERGEFORMAT </w:instrText>
                          </w:r>
                          <w:r>
                            <w:rPr>
                              <w:rFonts w:hint="eastAsia" w:ascii="宋体" w:hAnsi="宋体" w:eastAsia="宋体" w:cs="宋体"/>
                              <w:sz w:val="28"/>
                              <w:szCs w:val="28"/>
                              <w:lang w:val="en-US" w:eastAsia="en-US" w:bidi="en-US"/>
                            </w:rPr>
                            <w:fldChar w:fldCharType="separate"/>
                          </w:r>
                          <w:r>
                            <w:rPr>
                              <w:rFonts w:hint="eastAsia" w:ascii="宋体" w:hAnsi="宋体" w:eastAsia="宋体" w:cs="宋体"/>
                              <w:sz w:val="28"/>
                              <w:szCs w:val="28"/>
                              <w:lang w:val="zh-CN" w:eastAsia="en-US" w:bidi="en-US"/>
                            </w:rPr>
                            <w:t>1</w:t>
                          </w:r>
                          <w:r>
                            <w:rPr>
                              <w:rFonts w:hint="eastAsia" w:ascii="宋体" w:hAnsi="宋体" w:eastAsia="宋体" w:cs="宋体"/>
                              <w:sz w:val="28"/>
                              <w:szCs w:val="28"/>
                              <w:lang w:val="en-US" w:eastAsia="en-US" w:bidi="en-US"/>
                            </w:rPr>
                            <w:fldChar w:fldCharType="end"/>
                          </w:r>
                        </w:p>
                      </w:txbxContent>
                    </wps:txbx>
                    <wps:bodyPr wrap="none" lIns="0" tIns="0" rIns="0" bIns="0" upright="false">
                      <a:spAutoFit/>
                    </wps:bodyPr>
                  </wps:wsp>
                </a:graphicData>
              </a:graphic>
            </wp:anchor>
          </w:drawing>
        </mc:Choice>
        <mc:Fallback>
          <w:pict>
            <v:rect id="矩形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l1uVLQAAAABQEAAA8AAAAAAAAAAQAgAAAAOAAAAGRycy9kb3ducmV2LnhtbFBLAQIUABQAAAAI&#10;AIdO4kCLkTCNpgEAAEIDAAAOAAAAAAAAAAEAIAAAADUBAABkcnMvZTJvRG9jLnhtbFBLBQYAAAAA&#10;BgAGAFkBAABNBQAAAAA=&#10;">
              <v:fill on="f" focussize="0,0"/>
              <v:stroke on="f"/>
              <v:imagedata o:title=""/>
              <o:lock v:ext="edit" aspectratio="f"/>
              <v:textbox inset="0mm,0mm,0mm,0mm" style="mso-fit-shape-to-text:t;">
                <w:txbxContent>
                  <w:p>
                    <w:pPr>
                      <w:snapToGrid w:val="0"/>
                      <w:spacing w:after="200" w:afterAutospacing="0" w:line="276" w:lineRule="auto"/>
                      <w:jc w:val="center"/>
                      <w:rPr>
                        <w:rFonts w:hint="eastAsia" w:ascii="宋体" w:hAnsi="宋体" w:eastAsia="宋体" w:cs="宋体"/>
                        <w:sz w:val="28"/>
                        <w:szCs w:val="28"/>
                      </w:rPr>
                    </w:pPr>
                    <w:r>
                      <w:rPr>
                        <w:rFonts w:hint="eastAsia" w:ascii="宋体" w:hAnsi="宋体" w:eastAsia="宋体" w:cs="宋体"/>
                        <w:sz w:val="28"/>
                        <w:szCs w:val="28"/>
                        <w:lang w:val="en-US" w:eastAsia="en-US" w:bidi="en-US"/>
                      </w:rPr>
                      <w:fldChar w:fldCharType="begin"/>
                    </w:r>
                    <w:r>
                      <w:rPr>
                        <w:rFonts w:hint="eastAsia" w:ascii="宋体" w:hAnsi="宋体" w:eastAsia="宋体" w:cs="宋体"/>
                        <w:sz w:val="28"/>
                        <w:szCs w:val="28"/>
                        <w:lang w:val="en-US" w:eastAsia="en-US" w:bidi="en-US"/>
                      </w:rPr>
                      <w:instrText xml:space="preserve"> PAGE   \* MERGEFORMAT </w:instrText>
                    </w:r>
                    <w:r>
                      <w:rPr>
                        <w:rFonts w:hint="eastAsia" w:ascii="宋体" w:hAnsi="宋体" w:eastAsia="宋体" w:cs="宋体"/>
                        <w:sz w:val="28"/>
                        <w:szCs w:val="28"/>
                        <w:lang w:val="en-US" w:eastAsia="en-US" w:bidi="en-US"/>
                      </w:rPr>
                      <w:fldChar w:fldCharType="separate"/>
                    </w:r>
                    <w:r>
                      <w:rPr>
                        <w:rFonts w:hint="eastAsia" w:ascii="宋体" w:hAnsi="宋体" w:eastAsia="宋体" w:cs="宋体"/>
                        <w:sz w:val="28"/>
                        <w:szCs w:val="28"/>
                        <w:lang w:val="zh-CN" w:eastAsia="en-US" w:bidi="en-US"/>
                      </w:rPr>
                      <w:t>1</w:t>
                    </w:r>
                    <w:r>
                      <w:rPr>
                        <w:rFonts w:hint="eastAsia" w:ascii="宋体" w:hAnsi="宋体" w:eastAsia="宋体" w:cs="宋体"/>
                        <w:sz w:val="28"/>
                        <w:szCs w:val="28"/>
                        <w:lang w:val="en-US" w:eastAsia="en-US" w:bidi="en-US"/>
                      </w:rPr>
                      <w:fldChar w:fldCharType="end"/>
                    </w:r>
                  </w:p>
                </w:txbxContent>
              </v:textbox>
            </v:rect>
          </w:pict>
        </mc:Fallback>
      </mc:AlternateContent>
    </w:r>
  </w:p>
  <w:p>
    <w:pPr>
      <w:snapToGrid w:val="0"/>
      <w:spacing w:after="200" w:afterAutospacing="0" w:line="276" w:lineRule="auto"/>
      <w:jc w:val="left"/>
      <w:rPr>
        <w:rFonts w:ascii="Calibri" w:hAnsi="Calibri" w:eastAsia="宋体" w:cs="Times New Roman"/>
        <w:sz w:val="18"/>
        <w:szCs w:val="18"/>
        <w:lang w:val="en-US" w:eastAsia="en-US" w:bidi="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420"/>
  <w:hyphenationZone w:val="360"/>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E3F0B21"/>
    <w:rsid w:val="AC77E2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outlineLvl w:val="9"/>
    </w:pPr>
    <w:rPr>
      <w:rFonts w:ascii="Times New Roman" w:hAnsi="Times New Roman" w:eastAsia="宋体" w:cs="Times New Roman"/>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2021-08-27T20:40:00Z</dcterms:created>
  <dc:creator>user</dc:creator>
  <cp:lastModifiedBy>user</cp:lastModifiedBy>
  <dcterms:modified xsi:type="dcterms:W3CDTF">2021-08-31T18:05:36Z</dcterms:modified>
  <dc:title>杭州市商务局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