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0" w:firstLineChars="0"/>
        <w:jc w:val="center"/>
        <w:rPr>
          <w:rFonts w:ascii="方正小标宋简体" w:hAnsi="方正小标宋_GBK" w:eastAsia="方正小标宋简体" w:cs="方正小标宋_GBK"/>
          <w:sz w:val="44"/>
          <w:szCs w:val="44"/>
        </w:rPr>
      </w:pPr>
    </w:p>
    <w:p>
      <w:pPr>
        <w:spacing w:line="640" w:lineRule="exact"/>
        <w:ind w:firstLine="0" w:firstLineChars="0"/>
        <w:jc w:val="center"/>
        <w:rPr>
          <w:rFonts w:hint="eastAsia" w:ascii="黑体" w:hAnsi="黑体" w:eastAsia="黑体" w:cs="方正小标宋_GBK"/>
          <w:sz w:val="44"/>
          <w:szCs w:val="44"/>
        </w:rPr>
      </w:pPr>
      <w:r>
        <w:rPr>
          <w:rFonts w:hint="eastAsia" w:ascii="黑体" w:hAnsi="黑体" w:eastAsia="黑体" w:cs="方正小标宋_GBK"/>
          <w:sz w:val="44"/>
          <w:szCs w:val="44"/>
        </w:rPr>
        <w:t>杭州市</w:t>
      </w:r>
      <w:r>
        <w:rPr>
          <w:rFonts w:hint="eastAsia" w:ascii="黑体" w:hAnsi="黑体" w:eastAsia="黑体" w:cs="方正小标宋_GBK"/>
          <w:sz w:val="44"/>
          <w:szCs w:val="44"/>
          <w:lang w:val="en-US" w:eastAsia="zh-CN"/>
        </w:rPr>
        <w:t>建设</w:t>
      </w:r>
      <w:r>
        <w:rPr>
          <w:rFonts w:hint="eastAsia" w:ascii="黑体" w:hAnsi="黑体" w:eastAsia="黑体" w:cs="方正小标宋_GBK"/>
          <w:sz w:val="44"/>
          <w:szCs w:val="44"/>
        </w:rPr>
        <w:t>全国先进生产性服务业集聚地</w:t>
      </w:r>
    </w:p>
    <w:p>
      <w:pPr>
        <w:spacing w:line="640" w:lineRule="exact"/>
        <w:ind w:firstLine="0" w:firstLineChars="0"/>
        <w:jc w:val="center"/>
        <w:rPr>
          <w:rFonts w:ascii="黑体" w:hAnsi="黑体" w:eastAsia="黑体" w:cs="方正小标宋_GBK"/>
          <w:sz w:val="44"/>
          <w:szCs w:val="44"/>
        </w:rPr>
      </w:pPr>
      <w:bookmarkStart w:id="1" w:name="_GoBack"/>
      <w:bookmarkEnd w:id="1"/>
      <w:r>
        <w:rPr>
          <w:rFonts w:hint="eastAsia" w:ascii="黑体" w:hAnsi="黑体" w:eastAsia="黑体" w:cs="方正小标宋_GBK"/>
          <w:sz w:val="44"/>
          <w:szCs w:val="44"/>
        </w:rPr>
        <w:t>实施方案（202</w:t>
      </w:r>
      <w:r>
        <w:rPr>
          <w:rFonts w:hint="eastAsia" w:ascii="黑体" w:hAnsi="黑体" w:eastAsia="黑体" w:cs="方正小标宋_GBK"/>
          <w:sz w:val="44"/>
          <w:szCs w:val="44"/>
          <w:lang w:val="en-US" w:eastAsia="zh-CN"/>
        </w:rPr>
        <w:t>3</w:t>
      </w:r>
      <w:r>
        <w:rPr>
          <w:rFonts w:hint="eastAsia" w:ascii="黑体" w:hAnsi="黑体" w:eastAsia="黑体" w:cs="方正小标宋_GBK"/>
          <w:sz w:val="44"/>
          <w:szCs w:val="44"/>
        </w:rPr>
        <w:t>年-2025年）</w:t>
      </w:r>
    </w:p>
    <w:p>
      <w:pPr>
        <w:spacing w:line="640" w:lineRule="exact"/>
        <w:rPr>
          <w:rFonts w:ascii="仿宋_GB2312" w:hAnsi="仿宋_GB2312" w:cs="仿宋_GB2312"/>
          <w:szCs w:val="32"/>
        </w:rPr>
      </w:pPr>
    </w:p>
    <w:p>
      <w:pPr>
        <w:spacing w:line="640" w:lineRule="exact"/>
        <w:rPr>
          <w:rFonts w:ascii="仿宋_GB2312" w:hAnsi="仿宋_GB2312" w:cs="仿宋_GB2312"/>
          <w:szCs w:val="32"/>
        </w:rPr>
      </w:pPr>
      <w:r>
        <w:rPr>
          <w:rFonts w:hint="eastAsia" w:ascii="仿宋_GB2312" w:hAnsi="仿宋_GB2312" w:cs="仿宋_GB2312"/>
          <w:szCs w:val="32"/>
        </w:rPr>
        <w:t>生产性服务业是现代服务业的重要组成部分，也是推进制造业转型升级、现代产业体系构建、经济高质量发展的关键环节。它具有知识密集、附加值高、融合性强、专业化等显著特点，是引领产业向价值链高端攀升的重要力量，更是全球产业竞争的战略制高点。为加快推进我市生产性服务业创新发展，努力打造全国先进生产性服务业集聚地，特制定本实施方案。</w:t>
      </w:r>
    </w:p>
    <w:p>
      <w:pPr>
        <w:pStyle w:val="19"/>
        <w:numPr>
          <w:ilvl w:val="0"/>
          <w:numId w:val="3"/>
        </w:numPr>
        <w:spacing w:line="640" w:lineRule="exact"/>
        <w:ind w:firstLineChars="0"/>
        <w:rPr>
          <w:rFonts w:ascii="黑体" w:hAnsi="黑体" w:eastAsia="黑体" w:cs="黑体"/>
          <w:szCs w:val="32"/>
        </w:rPr>
      </w:pPr>
      <w:r>
        <w:rPr>
          <w:rFonts w:hint="eastAsia" w:ascii="黑体" w:hAnsi="黑体" w:eastAsia="黑体" w:cs="黑体"/>
          <w:szCs w:val="32"/>
        </w:rPr>
        <w:t>指导思想</w:t>
      </w:r>
    </w:p>
    <w:p>
      <w:pPr>
        <w:spacing w:line="640" w:lineRule="exact"/>
        <w:rPr>
          <w:rFonts w:ascii="仿宋_GB2312" w:hAnsi="仿宋_GB2312" w:cs="仿宋_GB2312"/>
          <w:szCs w:val="32"/>
        </w:rPr>
      </w:pPr>
      <w:r>
        <w:rPr>
          <w:rFonts w:hint="eastAsia" w:ascii="仿宋_GB2312" w:hAnsi="仿宋_GB2312" w:cs="仿宋_GB2312"/>
          <w:szCs w:val="32"/>
        </w:rPr>
        <w:t>以习近平新时代中国特色社会主义思想为指导，准确把握新发展阶段，深入贯彻新发展理念，服务构建新发展格局，紧紧围绕打响“杭州服务”品牌和推进现代服务业“两地四中心”建设要求，以数字技术为代表的新兴科技为驱动，以模式创新为牵引，以两业融合为重要方向，加快培育先进生产性服务业集群，建设全国先进生产性服务业集聚地，</w:t>
      </w:r>
      <w:r>
        <w:rPr>
          <w:rFonts w:hint="eastAsia" w:ascii="仿宋_GB2312" w:cs="仿宋_GB2312"/>
          <w:spacing w:val="6"/>
          <w:szCs w:val="32"/>
        </w:rPr>
        <w:t>推动生产性服务业向专业化和价值链高端延伸，</w:t>
      </w:r>
      <w:r>
        <w:rPr>
          <w:rFonts w:hint="eastAsia" w:ascii="仿宋_GB2312" w:hAnsi="仿宋_GB2312" w:cs="仿宋_GB2312"/>
          <w:szCs w:val="32"/>
        </w:rPr>
        <w:t>为杭州市打造具有全球影响力的全国先进生产性服务业标杆城市提供重要支撑。</w:t>
      </w:r>
    </w:p>
    <w:p>
      <w:pPr>
        <w:spacing w:line="640" w:lineRule="exact"/>
        <w:rPr>
          <w:rFonts w:ascii="黑体" w:hAnsi="黑体" w:eastAsia="黑体" w:cs="仿宋_GB2312"/>
          <w:szCs w:val="32"/>
        </w:rPr>
      </w:pPr>
      <w:r>
        <w:rPr>
          <w:rFonts w:hint="eastAsia" w:ascii="黑体" w:hAnsi="黑体" w:eastAsia="黑体" w:cs="仿宋_GB2312"/>
          <w:szCs w:val="32"/>
        </w:rPr>
        <w:t>二、</w:t>
      </w:r>
      <w:r>
        <w:rPr>
          <w:rFonts w:hint="eastAsia" w:ascii="黑体" w:hAnsi="黑体" w:eastAsia="黑体" w:cs="黑体"/>
          <w:szCs w:val="32"/>
        </w:rPr>
        <w:t>发展目标</w:t>
      </w:r>
    </w:p>
    <w:p>
      <w:pPr>
        <w:widowControl/>
        <w:numPr>
          <w:ilvl w:val="255"/>
          <w:numId w:val="0"/>
        </w:numPr>
        <w:spacing w:line="640" w:lineRule="exact"/>
        <w:ind w:firstLine="640" w:firstLineChars="200"/>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（一）总体目标</w:t>
      </w:r>
    </w:p>
    <w:p>
      <w:pPr>
        <w:numPr>
          <w:ilvl w:val="255"/>
          <w:numId w:val="0"/>
        </w:numPr>
        <w:spacing w:line="640" w:lineRule="exact"/>
        <w:ind w:firstLine="641"/>
        <w:rPr>
          <w:rFonts w:ascii="仿宋_GB2312" w:hAnsi="仿宋_GB2312" w:cs="仿宋_GB2312"/>
          <w:szCs w:val="32"/>
        </w:rPr>
      </w:pPr>
      <w:r>
        <w:rPr>
          <w:rFonts w:hint="eastAsia" w:ascii="仿宋_GB2312" w:hAnsi="仿宋_GB2312" w:cs="仿宋_GB2312"/>
          <w:szCs w:val="32"/>
        </w:rPr>
        <w:t>力争到2025年，我市生产性服务业产业结构、空间结构、动力结构实现全面优化，不断“补短板、强基础、扬优势、创特色”，以数字服务、科技服务、金融服务、物流服务、商务服务等为重点领域的生产性服务业向专业化、高端化发展，加快建成具有全球影响力的全国先进生产性服务业标杆城市，奋力实现“1+4+3”发展目标体系。</w:t>
      </w:r>
    </w:p>
    <w:p>
      <w:pPr>
        <w:widowControl/>
        <w:numPr>
          <w:ilvl w:val="255"/>
          <w:numId w:val="0"/>
        </w:numPr>
        <w:spacing w:line="640" w:lineRule="exact"/>
        <w:ind w:firstLine="640" w:firstLineChars="200"/>
        <w:rPr>
          <w:rFonts w:ascii="楷体_GB2312" w:hAnsi="仿宋_GB2312" w:eastAsia="楷体_GB2312" w:cs="仿宋_GB2312"/>
          <w:szCs w:val="32"/>
        </w:rPr>
      </w:pPr>
      <w:r>
        <w:rPr>
          <w:rFonts w:hint="eastAsia" w:ascii="楷体_GB2312" w:hAnsi="楷体_GB2312" w:eastAsia="楷体_GB2312" w:cs="楷体_GB2312"/>
          <w:color w:val="000000"/>
          <w:szCs w:val="32"/>
        </w:rPr>
        <w:t>（二）具体目标</w:t>
      </w:r>
    </w:p>
    <w:p>
      <w:pPr>
        <w:numPr>
          <w:ilvl w:val="255"/>
          <w:numId w:val="0"/>
        </w:numPr>
        <w:spacing w:line="640" w:lineRule="exact"/>
        <w:ind w:firstLine="641"/>
        <w:rPr>
          <w:rFonts w:ascii="仿宋_GB2312" w:hAnsi="仿宋_GB2312" w:cs="仿宋_GB2312"/>
          <w:szCs w:val="32"/>
        </w:rPr>
      </w:pPr>
      <w:r>
        <w:rPr>
          <w:rFonts w:hint="eastAsia" w:ascii="仿宋_GB2312" w:hAnsi="仿宋_GB2312" w:cs="仿宋_GB2312"/>
          <w:szCs w:val="32"/>
        </w:rPr>
        <w:t>力争到2025年，全市生产性服务业增加值突破1万亿元，居全国前四；生产性服务业规上营业收入破2.2万亿。</w:t>
      </w:r>
    </w:p>
    <w:p>
      <w:pPr>
        <w:numPr>
          <w:ilvl w:val="255"/>
          <w:numId w:val="0"/>
        </w:numPr>
        <w:spacing w:line="640" w:lineRule="exact"/>
        <w:ind w:firstLine="641"/>
        <w:rPr>
          <w:rFonts w:ascii="仿宋_GB2312" w:hAnsi="仿宋_GB2312" w:cs="仿宋_GB2312"/>
          <w:szCs w:val="32"/>
        </w:rPr>
      </w:pPr>
      <w:r>
        <w:rPr>
          <w:rFonts w:hint="eastAsia" w:ascii="仿宋_GB2312" w:hAnsi="仿宋_GB2312" w:cs="仿宋_GB2312"/>
          <w:b/>
          <w:bCs/>
          <w:szCs w:val="32"/>
        </w:rPr>
        <w:t>1、擦亮四张名片，打造四个中心。</w:t>
      </w:r>
      <w:r>
        <w:rPr>
          <w:rFonts w:hint="eastAsia" w:ascii="仿宋_GB2312" w:hAnsi="仿宋_GB2312" w:cs="仿宋_GB2312"/>
          <w:szCs w:val="32"/>
        </w:rPr>
        <w:t>发挥优势，凸显特色，擦亮打响数字经济、科技创新、新兴金融和电商物流四张“金名片”，努力将杭州建设成为竞争力卓越的全球数字贸易中心、影响力突出的综合性国家科学中心、创新力强劲的全国金融创新中心和辐射力显著的全球物流服务中心。</w:t>
      </w:r>
    </w:p>
    <w:p>
      <w:pPr>
        <w:widowControl/>
        <w:spacing w:line="640" w:lineRule="exact"/>
        <w:rPr>
          <w:rFonts w:ascii="仿宋_GB2312" w:hAnsi="仿宋_GB2312" w:cs="仿宋_GB2312"/>
          <w:b/>
          <w:bCs/>
          <w:szCs w:val="32"/>
        </w:rPr>
      </w:pPr>
      <w:r>
        <w:rPr>
          <w:rFonts w:hint="eastAsia" w:ascii="仿宋_GB2312" w:hAnsi="仿宋_GB2312" w:cs="仿宋_GB2312"/>
          <w:szCs w:val="32"/>
        </w:rPr>
        <w:t>——</w:t>
      </w:r>
      <w:r>
        <w:rPr>
          <w:rFonts w:hint="eastAsia" w:ascii="仿宋_GB2312" w:hAnsi="仿宋_GB2312" w:cs="仿宋_GB2312"/>
          <w:b/>
          <w:bCs/>
          <w:szCs w:val="32"/>
        </w:rPr>
        <w:t>全球数字贸易中心。</w:t>
      </w:r>
      <w:r>
        <w:rPr>
          <w:rFonts w:hint="eastAsia" w:ascii="仿宋_GB2312" w:hAnsi="仿宋_GB2312" w:cs="仿宋_GB2312"/>
          <w:szCs w:val="32"/>
        </w:rPr>
        <w:t>以重塑全国数字经济第一城为目标，力争擦亮打响数字经济金名片，打造竞争力卓越的全球数字贸易中心。到2025年，全市信息传输、软件和信息技术服务业营业收入达到1.3万亿元以上；数字贸易额突破</w:t>
      </w:r>
      <w:r>
        <w:rPr>
          <w:rFonts w:hint="eastAsia" w:ascii="仿宋_GB2312" w:hAnsi="仿宋_GB2312" w:cs="仿宋_GB2312"/>
          <w:szCs w:val="32"/>
          <w:lang w:val="en-US" w:eastAsia="zh-CN"/>
        </w:rPr>
        <w:t>2300</w:t>
      </w:r>
      <w:r>
        <w:rPr>
          <w:rFonts w:hint="eastAsia" w:ascii="仿宋_GB2312" w:hAnsi="仿宋_GB2312" w:cs="仿宋_GB2312"/>
          <w:szCs w:val="32"/>
        </w:rPr>
        <w:t>亿元。</w:t>
      </w:r>
    </w:p>
    <w:p>
      <w:pPr>
        <w:spacing w:line="640" w:lineRule="exact"/>
        <w:ind w:firstLine="643"/>
        <w:rPr>
          <w:rFonts w:ascii="仿宋_GB2312" w:hAnsi="仿宋_GB2312" w:cs="仿宋_GB2312"/>
          <w:b/>
          <w:bCs/>
          <w:szCs w:val="32"/>
        </w:rPr>
      </w:pPr>
      <w:r>
        <w:rPr>
          <w:rFonts w:hint="eastAsia" w:ascii="仿宋_GB2312" w:hAnsi="仿宋_GB2312" w:cs="仿宋_GB2312"/>
          <w:b/>
          <w:bCs/>
          <w:szCs w:val="32"/>
        </w:rPr>
        <w:t>——综合性国家科学中心。</w:t>
      </w:r>
      <w:r>
        <w:rPr>
          <w:rFonts w:hint="eastAsia" w:ascii="仿宋_GB2312" w:hAnsi="仿宋_GB2312" w:cs="仿宋_GB2312"/>
          <w:szCs w:val="32"/>
        </w:rPr>
        <w:t>以推动杭州城西科创大走廊建设为核心，力争擦亮打响科技创新金名片，打造影响力突出的综合性国家科学中心。到2025年，全市规模以上科学研究和技术服务业营业收入超过1500亿元。</w:t>
      </w:r>
    </w:p>
    <w:p>
      <w:pPr>
        <w:spacing w:line="640" w:lineRule="exact"/>
        <w:ind w:firstLine="643"/>
        <w:rPr>
          <w:rFonts w:ascii="仿宋_GB2312"/>
          <w:szCs w:val="32"/>
        </w:rPr>
      </w:pPr>
      <w:r>
        <w:rPr>
          <w:rFonts w:hint="eastAsia" w:ascii="仿宋_GB2312" w:hAnsi="仿宋_GB2312" w:cs="仿宋_GB2312"/>
          <w:b/>
          <w:bCs/>
          <w:szCs w:val="32"/>
        </w:rPr>
        <w:t>——全国金融创新中心。</w:t>
      </w:r>
      <w:r>
        <w:rPr>
          <w:rFonts w:hint="eastAsia" w:ascii="仿宋_GB2312" w:hAnsi="仿宋_GB2312" w:cs="仿宋_GB2312"/>
          <w:szCs w:val="32"/>
        </w:rPr>
        <w:t>以高标准建设杭州国际金融科技中心和浙江新兴金融中心核心区为重心，力争擦亮打响新兴金融金名片，打造创新力强劲的全国金融创新中心。到2025年，全市金融业增加值达到2800亿元。</w:t>
      </w:r>
    </w:p>
    <w:p>
      <w:pPr>
        <w:spacing w:line="640" w:lineRule="exact"/>
        <w:ind w:firstLine="643"/>
        <w:rPr>
          <w:rFonts w:ascii="仿宋_GB2312" w:hAnsi="仿宋_GB2312" w:cs="仿宋_GB2312"/>
          <w:b/>
          <w:bCs/>
          <w:szCs w:val="32"/>
        </w:rPr>
      </w:pPr>
      <w:r>
        <w:rPr>
          <w:rFonts w:hint="eastAsia" w:ascii="仿宋_GB2312" w:hAnsi="仿宋_GB2312" w:cs="仿宋_GB2312"/>
          <w:b/>
          <w:bCs/>
          <w:szCs w:val="32"/>
        </w:rPr>
        <w:t>——全球物流服务中心。</w:t>
      </w:r>
      <w:r>
        <w:rPr>
          <w:rFonts w:hint="eastAsia" w:ascii="仿宋_GB2312" w:hAnsi="仿宋_GB2312" w:cs="仿宋_GB2312"/>
          <w:szCs w:val="32"/>
        </w:rPr>
        <w:t>以建设全球智慧物流枢纽、全球一流快递之都、区域性国际物流中心和全国现代供应链资源配置中心为定位，力争擦亮电商物流金名片，打造辐射力显著的全球物流服务中心。到2025年，全市物流业增加值达到1</w:t>
      </w:r>
      <w:r>
        <w:rPr>
          <w:rFonts w:ascii="仿宋_GB2312" w:hAnsi="仿宋_GB2312" w:cs="仿宋_GB2312"/>
          <w:szCs w:val="32"/>
        </w:rPr>
        <w:t>3</w:t>
      </w:r>
      <w:r>
        <w:rPr>
          <w:rFonts w:hint="eastAsia" w:ascii="仿宋_GB2312" w:hAnsi="仿宋_GB2312" w:cs="仿宋_GB2312"/>
          <w:szCs w:val="32"/>
        </w:rPr>
        <w:t>00亿元。</w:t>
      </w:r>
    </w:p>
    <w:p>
      <w:pPr>
        <w:numPr>
          <w:ilvl w:val="255"/>
          <w:numId w:val="0"/>
        </w:numPr>
        <w:spacing w:line="640" w:lineRule="exact"/>
        <w:ind w:firstLine="643"/>
        <w:rPr>
          <w:rFonts w:ascii="仿宋_GB2312" w:hAnsi="仿宋_GB2312" w:cs="仿宋_GB2312"/>
          <w:szCs w:val="32"/>
        </w:rPr>
      </w:pPr>
      <w:r>
        <w:rPr>
          <w:rFonts w:hint="eastAsia" w:ascii="仿宋_GB2312" w:hAnsi="仿宋_GB2312" w:cs="仿宋_GB2312"/>
          <w:b/>
          <w:bCs/>
          <w:szCs w:val="32"/>
        </w:rPr>
        <w:t>2、力争三个争先，形成三个一批。</w:t>
      </w:r>
      <w:r>
        <w:rPr>
          <w:rFonts w:hint="eastAsia" w:ascii="仿宋_GB2312" w:hAnsi="仿宋_GB2312" w:cs="仿宋_GB2312"/>
          <w:szCs w:val="32"/>
        </w:rPr>
        <w:t>积极争取在两业融合、数字赋能和模式创新等方面探索创新，努力形成一批试点示范、标志成果和创新模式。</w:t>
      </w:r>
    </w:p>
    <w:p>
      <w:pPr>
        <w:spacing w:line="640" w:lineRule="exact"/>
        <w:ind w:firstLine="643"/>
        <w:rPr>
          <w:rFonts w:ascii="仿宋_GB2312" w:hAnsi="仿宋_GB2312" w:cs="仿宋_GB2312"/>
          <w:szCs w:val="32"/>
        </w:rPr>
      </w:pPr>
      <w:r>
        <w:rPr>
          <w:rFonts w:hint="eastAsia" w:ascii="仿宋_GB2312" w:hAnsi="仿宋_GB2312" w:cs="仿宋_GB2312"/>
          <w:b/>
          <w:bCs/>
          <w:szCs w:val="32"/>
        </w:rPr>
        <w:t>——两业融合争先，形成一批试点示范。</w:t>
      </w:r>
      <w:r>
        <w:rPr>
          <w:rFonts w:hint="eastAsia" w:ascii="仿宋_GB2312" w:hAnsi="仿宋_GB2312" w:cs="仿宋_GB2312"/>
          <w:szCs w:val="32"/>
        </w:rPr>
        <w:t>以国家服务型制造示范城市建设为契机，聚焦服务制造化、制造服务化，探索形成两业融合发展的杭州路径。力争到2025年，杭州国家级服务型制造示范企业（项目、平台）达到15家以上。</w:t>
      </w:r>
    </w:p>
    <w:p>
      <w:pPr>
        <w:spacing w:line="640" w:lineRule="exact"/>
        <w:ind w:firstLine="643"/>
        <w:rPr>
          <w:rFonts w:ascii="仿宋_GB2312" w:hAnsi="仿宋_GB2312" w:cs="仿宋_GB2312"/>
          <w:szCs w:val="32"/>
        </w:rPr>
      </w:pPr>
      <w:r>
        <w:rPr>
          <w:rFonts w:hint="eastAsia" w:ascii="仿宋_GB2312" w:hAnsi="仿宋_GB2312" w:cs="仿宋_GB2312"/>
          <w:b/>
          <w:bCs/>
          <w:szCs w:val="32"/>
        </w:rPr>
        <w:t>——数字赋能争先，形成一批标志成果。</w:t>
      </w:r>
      <w:r>
        <w:rPr>
          <w:rFonts w:hint="eastAsia" w:ascii="仿宋_GB2312" w:hAnsi="仿宋_GB2312" w:cs="仿宋_GB2312"/>
          <w:szCs w:val="32"/>
        </w:rPr>
        <w:t>产业数字化（两化融合、服务业数字化）指数长期保持全国前列，数字化推动产业绿色低碳转型效果显著，应用数字化技术提高生产和能源效率，促进产业电气化和新能源使用，助力城市净零碳发展水平排名力争进入全国前三。</w:t>
      </w:r>
    </w:p>
    <w:p>
      <w:pPr>
        <w:spacing w:line="640" w:lineRule="exact"/>
        <w:ind w:firstLine="643"/>
        <w:rPr>
          <w:rFonts w:ascii="仿宋_GB2312" w:hAnsi="仿宋_GB2312" w:cs="仿宋_GB2312"/>
          <w:szCs w:val="32"/>
        </w:rPr>
      </w:pPr>
      <w:r>
        <w:rPr>
          <w:rFonts w:hint="eastAsia" w:ascii="仿宋_GB2312" w:hAnsi="仿宋_GB2312" w:cs="仿宋_GB2312"/>
          <w:b/>
          <w:bCs/>
          <w:szCs w:val="32"/>
        </w:rPr>
        <w:t>——模式创新争先，形成一批创新模式。</w:t>
      </w:r>
      <w:r>
        <w:rPr>
          <w:rFonts w:hint="eastAsia" w:ascii="仿宋_GB2312" w:hAnsi="仿宋_GB2312" w:cs="仿宋_GB2312"/>
          <w:szCs w:val="32"/>
        </w:rPr>
        <w:t>创新发展智能工厂、工业互联网、柔性化定制、共享型生产、智能制造诊断、“一站式”综合生产性服务平台、物流一体化供应链、S2B2C产业供应链（如社交电商）等新业态新模式。</w:t>
      </w:r>
    </w:p>
    <w:p>
      <w:pPr>
        <w:spacing w:line="640" w:lineRule="exact"/>
        <w:rPr>
          <w:rFonts w:ascii="黑体" w:hAnsi="黑体" w:eastAsia="黑体" w:cs="黑体"/>
          <w:szCs w:val="32"/>
        </w:rPr>
      </w:pPr>
      <w:r>
        <w:rPr>
          <w:rFonts w:hint="eastAsia" w:ascii="黑体" w:hAnsi="黑体" w:eastAsia="黑体" w:cs="黑体"/>
          <w:szCs w:val="32"/>
        </w:rPr>
        <w:t>三、重点领域</w:t>
      </w:r>
    </w:p>
    <w:p>
      <w:pPr>
        <w:spacing w:line="640" w:lineRule="exact"/>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（一）突出融合赋能，构筑数字服务生态</w:t>
      </w:r>
    </w:p>
    <w:p>
      <w:pPr>
        <w:spacing w:line="640" w:lineRule="exact"/>
        <w:rPr>
          <w:rFonts w:ascii="仿宋_GB2312" w:hAnsi="仿宋_GB2312" w:cs="仿宋_GB2312"/>
          <w:szCs w:val="32"/>
        </w:rPr>
      </w:pPr>
      <w:r>
        <w:rPr>
          <w:rFonts w:hint="eastAsia" w:ascii="仿宋_GB2312" w:hAnsi="仿宋_GB2312" w:cs="仿宋_GB2312"/>
          <w:szCs w:val="32"/>
        </w:rPr>
        <w:t>以打造“全国数字经济第一城”为目标，深入实施数字经济“一号工程”2.0，大力发展信息软件、数字贸易、直播电商、数字内容等数字服务重点领域，加快推动数字经济实现二次攀升。到2025年，规上数字经济服务业营业收入占规上服务业营业收入比重与服务业增加值占GDP比重相持平。</w:t>
      </w:r>
    </w:p>
    <w:p>
      <w:pPr>
        <w:spacing w:line="640" w:lineRule="exact"/>
        <w:ind w:firstLine="643"/>
        <w:rPr>
          <w:rFonts w:ascii="仿宋_GB2312" w:hAnsi="仿宋_GB2312" w:cs="仿宋_GB2312"/>
          <w:szCs w:val="32"/>
        </w:rPr>
      </w:pPr>
      <w:r>
        <w:rPr>
          <w:rFonts w:hint="eastAsia" w:ascii="仿宋_GB2312" w:hAnsi="仿宋_GB2312" w:cs="仿宋_GB2312"/>
          <w:b/>
          <w:bCs/>
          <w:color w:val="000000"/>
          <w:szCs w:val="32"/>
        </w:rPr>
        <w:t>1、信息软件。</w:t>
      </w:r>
      <w:r>
        <w:rPr>
          <w:rFonts w:hint="eastAsia" w:ascii="仿宋_GB2312" w:hAnsi="仿宋_GB2312" w:cs="仿宋_GB2312"/>
          <w:szCs w:val="32"/>
        </w:rPr>
        <w:t>加快发展人工智能、大数据、区块链、云计算、网络安全等新兴技术,重点发展基础软件、工业软件、嵌入式软件、核心应用软件等高端软件，持续壮大平台软件服务、广播电视服务、网络通信等信息服务业。推进国际级软件名城建设，突破关键核心软件技术，结合余杭人工智能小镇、滨江互联网小镇、滨江物联网小镇、萧山信息港小镇、西湖云栖小镇、紫金港科技城、拱墅智慧网谷小镇、北部软件园、钱塘智慧城等重点平台，建设一批有较高知名度的软件名园，培养一批引领性龙头企业，形成一批具有较高知名度的软件品牌，打造一批软件标志性产品，加速软件与各行业领域的融合应用。完善基础软件产品生态，支持技术软件开源开发模式，鼓励重点企业加大基础软件开源项目投入力度。到2025年，力争软件和信息技术服务业营业收入突破1.3万亿元。（责任单位：市经信局）</w:t>
      </w:r>
    </w:p>
    <w:p>
      <w:pPr>
        <w:suppressAutoHyphens/>
        <w:overflowPunct w:val="0"/>
        <w:adjustRightInd w:val="0"/>
        <w:snapToGrid w:val="0"/>
        <w:spacing w:line="640" w:lineRule="exact"/>
        <w:ind w:firstLine="643"/>
        <w:outlineLvl w:val="1"/>
        <w:rPr>
          <w:rFonts w:ascii="仿宋_GB2312" w:hAnsi="仿宋_GB2312" w:cs="仿宋_GB2312"/>
          <w:szCs w:val="32"/>
        </w:rPr>
      </w:pPr>
      <w:r>
        <w:rPr>
          <w:rFonts w:hint="eastAsia" w:ascii="仿宋_GB2312" w:hAnsi="仿宋_GB2312" w:cs="仿宋_GB2312"/>
          <w:b/>
          <w:bCs/>
          <w:color w:val="000000"/>
          <w:szCs w:val="32"/>
        </w:rPr>
        <w:t>2、数字贸易。</w:t>
      </w:r>
      <w:r>
        <w:rPr>
          <w:rFonts w:hint="eastAsia" w:ascii="仿宋_GB2312" w:hAnsi="仿宋_GB2312" w:cs="仿宋_GB2312"/>
          <w:color w:val="000000"/>
          <w:kern w:val="44"/>
          <w:szCs w:val="32"/>
        </w:rPr>
        <w:t>依托浙江自贸区杭州片区建设，</w:t>
      </w:r>
      <w:r>
        <w:rPr>
          <w:rFonts w:hint="eastAsia" w:ascii="仿宋_GB2312" w:hAnsi="仿宋_GB2312" w:cs="仿宋_GB2312"/>
          <w:szCs w:val="32"/>
        </w:rPr>
        <w:t>全力打造全球数字贸易中心，</w:t>
      </w:r>
      <w:r>
        <w:rPr>
          <w:rFonts w:hint="eastAsia" w:ascii="仿宋_GB2312" w:hAnsi="仿宋_GB2312" w:cs="仿宋_GB2312"/>
          <w:color w:val="000000"/>
          <w:kern w:val="44"/>
          <w:szCs w:val="32"/>
        </w:rPr>
        <w:t>高水平办好全球数字贸易博览会，高质量建设全球一流跨境电商示范中心、国家服务外包示范城市、国家数字服务出口基地和国家文化出口基地。</w:t>
      </w:r>
      <w:r>
        <w:rPr>
          <w:rFonts w:hint="eastAsia" w:ascii="仿宋_GB2312" w:hAnsi="仿宋_GB2312" w:cs="仿宋_GB2312"/>
          <w:szCs w:val="32"/>
        </w:rPr>
        <w:t>深入实施跨境电商产业三年倍增计划和“e揽全球 杭品出海”专项行动，</w:t>
      </w:r>
      <w:r>
        <w:rPr>
          <w:rFonts w:hint="eastAsia" w:ascii="仿宋_GB2312" w:hAnsi="仿宋_GB2312" w:cs="仿宋_GB2312"/>
          <w:color w:val="000000"/>
          <w:kern w:val="44"/>
          <w:szCs w:val="32"/>
        </w:rPr>
        <w:t>支持建设全球跨境电商品牌研究中心、“多层结构+智能化”机场国际货站，支持自建、租赁跨境电商保税仓、集货仓，支持市场主体开辟货运航线和物流班列。积极争创国家服务贸易创新发展示范区和国家服务业扩大开放综合试点，探索完善开放模式，优化监管体制机制，提升服务业国际竞争力和整体发展水平。</w:t>
      </w:r>
      <w:r>
        <w:rPr>
          <w:rFonts w:hint="eastAsia" w:ascii="仿宋_GB2312" w:hAnsi="仿宋_GB2312" w:cs="仿宋_GB2312"/>
          <w:szCs w:val="32"/>
        </w:rPr>
        <w:t>到2025年，力争全市实现数字贸易额</w:t>
      </w:r>
      <w:r>
        <w:rPr>
          <w:rFonts w:hint="eastAsia" w:ascii="仿宋_GB2312" w:hAnsi="仿宋_GB2312" w:cs="仿宋_GB2312"/>
          <w:szCs w:val="32"/>
          <w:lang w:val="en-US" w:eastAsia="zh-CN"/>
        </w:rPr>
        <w:t>2300</w:t>
      </w:r>
      <w:r>
        <w:rPr>
          <w:rFonts w:hint="eastAsia" w:ascii="仿宋_GB2312" w:hAnsi="仿宋_GB2312" w:cs="仿宋_GB2312"/>
          <w:szCs w:val="32"/>
        </w:rPr>
        <w:t>亿元，培育具有国际影响力的数字贸易平台5个，实现跨境电商</w:t>
      </w:r>
      <w:r>
        <w:rPr>
          <w:rFonts w:hint="eastAsia" w:ascii="仿宋_GB2312" w:hAnsi="仿宋_GB2312" w:cs="仿宋_GB2312"/>
          <w:szCs w:val="32"/>
          <w:lang w:val="en-US" w:eastAsia="zh-CN"/>
        </w:rPr>
        <w:t>进出</w:t>
      </w:r>
      <w:r>
        <w:rPr>
          <w:rFonts w:hint="eastAsia" w:ascii="仿宋_GB2312" w:hAnsi="仿宋_GB2312" w:cs="仿宋_GB2312"/>
          <w:szCs w:val="32"/>
        </w:rPr>
        <w:t>口额1500亿元。（责任单位：市商务局）</w:t>
      </w:r>
    </w:p>
    <w:p>
      <w:pPr>
        <w:widowControl/>
        <w:spacing w:line="640" w:lineRule="exact"/>
        <w:ind w:firstLine="643"/>
        <w:rPr>
          <w:rFonts w:ascii="仿宋_GB2312" w:hAnsi="仿宋_GB2312" w:cs="仿宋_GB2312"/>
          <w:color w:val="000000"/>
          <w:kern w:val="44"/>
          <w:szCs w:val="32"/>
        </w:rPr>
      </w:pPr>
      <w:r>
        <w:rPr>
          <w:rFonts w:hint="eastAsia" w:ascii="仿宋_GB2312" w:hAnsi="仿宋_GB2312" w:cs="仿宋_GB2312"/>
          <w:b/>
          <w:bCs/>
          <w:color w:val="000000"/>
          <w:szCs w:val="32"/>
        </w:rPr>
        <w:t>3、直播电商。</w:t>
      </w:r>
      <w:r>
        <w:rPr>
          <w:rFonts w:hint="eastAsia" w:ascii="仿宋_GB2312" w:hAnsi="仿宋_GB2312" w:cs="仿宋_GB2312"/>
          <w:szCs w:val="32"/>
        </w:rPr>
        <w:t>立足“全国电商直播第一城”目标定位，重点打造滨江直播电商产业基地、遥望电商产业园、现代优选直播电商基地、四季青网红孵化基地、财通文化直播产业园、新禾联创直播产业园、杭州联通5G直播电商运营基地、星汇直播基地等一批直播电商基地，加大对头部直播电商 MCN 机构招引，推进世界知名直播电商企业总部入驻杭州，集聚一</w:t>
      </w:r>
      <w:r>
        <w:rPr>
          <w:rFonts w:hint="eastAsia" w:ascii="仿宋_GB2312" w:hAnsi="仿宋_GB2312" w:cs="仿宋_GB2312"/>
          <w:color w:val="000000"/>
          <w:kern w:val="44"/>
          <w:szCs w:val="32"/>
        </w:rPr>
        <w:t>批直播平台公司、直播孵化公司、直播经纪公司、供应链公司和主播达人，促进“直播+店铺”、“直播+市场”、“直播+品牌”等模式发展。鼓励直播电商企业拓展自主品牌孵化培育，打造一批有特色、有亮点、有知名度、附加值高的直播电商产品与服务内容，助力打造“杭货”IP。支持直播电商等新电商人才纳入全市高层次人才分类认定，探索建立相应的人才认定标准与培育体系。到2025年，力争全市直播电商交易额达到10000亿元，占据中国直播电商 MCN 机构前十强中的5席以上。</w:t>
      </w:r>
    </w:p>
    <w:p>
      <w:pPr>
        <w:pStyle w:val="5"/>
        <w:widowControl/>
        <w:shd w:val="clear" w:color="auto" w:fill="FFFFFF"/>
        <w:spacing w:beforeAutospacing="0" w:afterAutospacing="0" w:line="640" w:lineRule="exact"/>
        <w:ind w:firstLine="643"/>
        <w:jc w:val="both"/>
        <w:rPr>
          <w:rFonts w:hint="default" w:ascii="仿宋_GB2312" w:eastAsia="仿宋_GB2312"/>
          <w:b w:val="0"/>
          <w:bCs w:val="0"/>
          <w:spacing w:val="6"/>
          <w:sz w:val="32"/>
          <w:szCs w:val="32"/>
        </w:rPr>
      </w:pPr>
      <w:r>
        <w:rPr>
          <w:rFonts w:ascii="仿宋_GB2312" w:hAnsi="仿宋_GB2312" w:eastAsia="仿宋_GB2312" w:cs="仿宋_GB2312"/>
          <w:color w:val="000000"/>
          <w:kern w:val="44"/>
          <w:sz w:val="32"/>
          <w:szCs w:val="32"/>
        </w:rPr>
        <w:t>4、</w:t>
      </w:r>
      <w:r>
        <w:rPr>
          <w:rFonts w:ascii="仿宋_GB2312" w:hAnsi="仿宋_GB2312" w:eastAsia="仿宋_GB2312" w:cs="仿宋_GB2312"/>
          <w:color w:val="000000"/>
          <w:sz w:val="32"/>
          <w:szCs w:val="32"/>
        </w:rPr>
        <w:t>数字内容。</w:t>
      </w:r>
      <w:r>
        <w:rPr>
          <w:rFonts w:ascii="仿宋_GB2312" w:eastAsia="仿宋_GB2312"/>
          <w:b w:val="0"/>
          <w:bCs w:val="0"/>
          <w:spacing w:val="6"/>
          <w:sz w:val="32"/>
          <w:szCs w:val="32"/>
        </w:rPr>
        <w:t>高水平推进之江文化产业带和大运河（杭州段）文化产业带建设，做大做强游戏、动漫、音乐、音频等数字内容产业。积极推进数据要素市场化配置，探索建立合规高效的数据要素流通和交易制度，加快构建市场化交易体系。率先探索公共数据授权运营及交易，加快推动滨江区建成运营杭州国际数字交易中心，形成以数字服务和数字资产为核心的数字交易闭环。谋划数据流通要素场景，在医疗健康、金融保险、商贸物流等领域开展先行先试，打造具有行业特色的数据运营流通业务体系与产业生态。研究探索数据基础制度，制定契合杭州的地方性数据政策、行业规范及标准，率先探索数据资源持有权、数据加工使用权、数据产品经营权等分置产权运行路径与机制。到2025年，力争数据要素与数字资产交易成交额实现5000万元。</w:t>
      </w:r>
    </w:p>
    <w:p>
      <w:pPr>
        <w:spacing w:line="640" w:lineRule="exact"/>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（二）强化策源引领，完善科技服务体系</w:t>
      </w:r>
    </w:p>
    <w:p>
      <w:pPr>
        <w:spacing w:line="640" w:lineRule="exact"/>
        <w:ind w:firstLine="664"/>
        <w:rPr>
          <w:rFonts w:ascii="仿宋_GB2312" w:hAnsi="宋体"/>
          <w:spacing w:val="6"/>
          <w:kern w:val="0"/>
          <w:szCs w:val="32"/>
        </w:rPr>
      </w:pPr>
      <w:r>
        <w:rPr>
          <w:rFonts w:hint="eastAsia" w:ascii="仿宋_GB2312" w:hAnsi="宋体"/>
          <w:spacing w:val="6"/>
          <w:kern w:val="0"/>
          <w:szCs w:val="32"/>
        </w:rPr>
        <w:t>以创建综合性国家科学中心为引领，加快建设具有国际影响力的科技创新策源地，大力发展研究开发、专业技术服务、知识产权、检验检测、工业设计等科技服务重点领域，到2025年，全市科学研究和技术服务业规上营业收入实现1500亿元。</w:t>
      </w:r>
    </w:p>
    <w:p>
      <w:pPr>
        <w:spacing w:line="640" w:lineRule="exact"/>
        <w:ind w:firstLine="667"/>
        <w:rPr>
          <w:rFonts w:ascii="仿宋_GB2312"/>
          <w:szCs w:val="32"/>
        </w:rPr>
      </w:pPr>
      <w:r>
        <w:rPr>
          <w:rFonts w:hint="eastAsia" w:ascii="仿宋_GB2312" w:hAnsi="宋体"/>
          <w:b/>
          <w:bCs/>
          <w:spacing w:val="6"/>
          <w:kern w:val="0"/>
          <w:szCs w:val="32"/>
        </w:rPr>
        <w:t>1、研究开发</w:t>
      </w:r>
      <w:r>
        <w:rPr>
          <w:rFonts w:hint="eastAsia" w:ascii="仿宋_GB2312" w:hAnsi="宋体"/>
          <w:spacing w:val="6"/>
          <w:kern w:val="0"/>
          <w:szCs w:val="32"/>
        </w:rPr>
        <w:t>。全力推进三大科创高地和城西科创大走廊建设，大力</w:t>
      </w:r>
      <w:r>
        <w:rPr>
          <w:rFonts w:hint="eastAsia" w:ascii="仿宋_GB2312" w:hAnsi="仿宋_GB2312" w:cs="仿宋_GB2312"/>
          <w:szCs w:val="32"/>
        </w:rPr>
        <w:t>支持</w:t>
      </w:r>
      <w:r>
        <w:rPr>
          <w:rFonts w:hint="eastAsia" w:ascii="仿宋_GB2312" w:hAnsi="仿宋_GB2312" w:cs="仿宋_GB2312"/>
          <w:color w:val="000000"/>
          <w:szCs w:val="32"/>
        </w:rPr>
        <w:t>国家实验室、大科学装置、全国重点实验室、省实验室、省技术创新中心等高水平科研平台建设。设立市自然科学基金，支持之江实验室、良渚实验室、西湖实验室、湖畔实验室、天目山实验室、白马湖实验室等高水平科研平台和各类创新主体开展基础研究和应用基础研究。加快实施市重点科技研发项目，建立完善以市场需求为引领、应用为导向的项目立项组织机制，对竞争性项目按实际研发投入与成果产出绩效予以资助。到2025年，力争R&amp;D经费支出占GDP比重达4%，落地国家级科技企业孵化器70个。</w:t>
      </w:r>
    </w:p>
    <w:p>
      <w:pPr>
        <w:spacing w:line="640" w:lineRule="exact"/>
        <w:ind w:firstLine="667"/>
        <w:rPr>
          <w:rFonts w:hint="eastAsia" w:ascii="仿宋_GB2312" w:hAnsi="仿宋_GB2312" w:cs="仿宋_GB2312"/>
          <w:color w:val="000000"/>
          <w:szCs w:val="32"/>
        </w:rPr>
      </w:pPr>
      <w:r>
        <w:rPr>
          <w:rFonts w:hint="eastAsia" w:ascii="仿宋_GB2312" w:hAnsi="宋体"/>
          <w:b/>
          <w:bCs/>
          <w:spacing w:val="6"/>
          <w:kern w:val="0"/>
          <w:szCs w:val="32"/>
        </w:rPr>
        <w:t>2、专业技术服务。</w:t>
      </w:r>
      <w:r>
        <w:rPr>
          <w:rFonts w:hint="eastAsia" w:ascii="仿宋_GB2312" w:hAnsi="仿宋_GB2312" w:cs="仿宋_GB2312"/>
          <w:color w:val="000000"/>
          <w:szCs w:val="32"/>
        </w:rPr>
        <w:t>建设科技成果概念验证中心和中小试基地，打造全国首个概念验证之都。支持五大产业链共性技术研发和公共服务平台建设，支持高校、科研院所、新型研发机构等设立技术转移机构。重点对新培育引进的国家技术转移示范机构、专业化国家技术转移中心和跨国技术转移服务机构，按其年度服务绩效予以资助。到2025年，力争技术交易额达1500亿元。</w:t>
      </w:r>
    </w:p>
    <w:p>
      <w:pPr>
        <w:spacing w:line="640" w:lineRule="exact"/>
        <w:ind w:firstLine="667"/>
        <w:rPr>
          <w:rFonts w:hint="eastAsia" w:ascii="仿宋_GB2312" w:hAnsi="仿宋_GB2312" w:cs="仿宋_GB2312"/>
          <w:szCs w:val="32"/>
        </w:rPr>
      </w:pPr>
      <w:r>
        <w:rPr>
          <w:rFonts w:hint="eastAsia" w:ascii="仿宋_GB2312" w:hAnsi="宋体"/>
          <w:b/>
          <w:bCs/>
          <w:spacing w:val="6"/>
          <w:kern w:val="0"/>
          <w:szCs w:val="32"/>
        </w:rPr>
        <w:t>3、知识产权。</w:t>
      </w:r>
      <w:r>
        <w:rPr>
          <w:rFonts w:hint="eastAsia" w:ascii="仿宋_GB2312" w:hAnsi="宋体"/>
          <w:spacing w:val="6"/>
          <w:kern w:val="0"/>
          <w:szCs w:val="32"/>
        </w:rPr>
        <w:t>积极推进国家知识产权强市建设试点示范城市建设，高水平建设中国（杭州）知识产权保护中心、浙江（杭州）知识产权诉调中心、杭州知识产权交易服务中心，建立健全知识产权综合管理体制,打通知识产权创造、运用、保护、管理、服务全链条。聚焦重点产业培育高价值专利，建立健全知识产权保护行政司法保护衔接、多元化纠纷解决、海外知识产权纠纷应对指导等机制。实施知识产权品牌</w:t>
      </w:r>
      <w:r>
        <w:rPr>
          <w:rFonts w:hint="eastAsia" w:ascii="仿宋_GB2312" w:hAnsi="仿宋_GB2312" w:cs="仿宋_GB2312"/>
          <w:szCs w:val="32"/>
        </w:rPr>
        <w:t>服务机构培育计划，</w:t>
      </w:r>
      <w:r>
        <w:rPr>
          <w:rFonts w:hint="eastAsia" w:ascii="仿宋_GB2312" w:hAnsi="宋体"/>
          <w:spacing w:val="6"/>
          <w:kern w:val="0"/>
          <w:szCs w:val="32"/>
        </w:rPr>
        <w:t>培育知识产权代理、咨询、信息等全链条知识产权服务机构，</w:t>
      </w:r>
      <w:r>
        <w:rPr>
          <w:rFonts w:hint="eastAsia" w:ascii="仿宋_GB2312" w:hAnsi="仿宋_GB2312" w:cs="仿宋_GB2312"/>
          <w:szCs w:val="32"/>
        </w:rPr>
        <w:t>加快建立知识产权服务机构星级评定和榜单制度。推动知识产权服务行业协会、服务联盟等自律组织建设，加强机构间交流合作，促进资源共享。到2025年，力争知识产权交易金额达3亿元。</w:t>
      </w:r>
    </w:p>
    <w:p>
      <w:pPr>
        <w:spacing w:line="640" w:lineRule="exact"/>
        <w:ind w:firstLine="667"/>
        <w:rPr>
          <w:rFonts w:ascii="仿宋_GB2312" w:hAnsi="仿宋_GB2312" w:cs="仿宋_GB2312"/>
          <w:szCs w:val="32"/>
        </w:rPr>
      </w:pPr>
      <w:r>
        <w:rPr>
          <w:rFonts w:hint="eastAsia" w:ascii="仿宋_GB2312" w:hAnsi="宋体"/>
          <w:b/>
          <w:bCs/>
          <w:spacing w:val="6"/>
          <w:kern w:val="0"/>
          <w:szCs w:val="32"/>
        </w:rPr>
        <w:t>4、检验检测。</w:t>
      </w:r>
      <w:r>
        <w:rPr>
          <w:rFonts w:hint="eastAsia" w:ascii="仿宋_GB2312" w:hAnsi="宋体"/>
          <w:spacing w:val="6"/>
          <w:kern w:val="0"/>
          <w:szCs w:val="32"/>
        </w:rPr>
        <w:t>全面提升检验检测供给质量，重点发展检验、检测、标准、计量、认证认可等第三方检验检测服务，培育发展一批具有全过程、全产业链、全生命周期服务能力的检验检测认证机构。建设检验检测共性技术平台，推动检验检测仪器设备国产替代，提升碳达峰和碳中和检测评价能力。以省级检验检测基地所在的金沙湖中央商务区为中心区，加快推动国家检验检测高技术服务业集聚区杭州分区建设。到2025年，力争全市</w:t>
      </w:r>
      <w:r>
        <w:rPr>
          <w:rFonts w:hint="eastAsia" w:ascii="仿宋_GB2312" w:hAnsi="仿宋_GB2312" w:cs="仿宋_GB2312"/>
          <w:szCs w:val="32"/>
        </w:rPr>
        <w:t>检验检测总收入超150亿元。</w:t>
      </w:r>
    </w:p>
    <w:p>
      <w:pPr>
        <w:spacing w:line="640" w:lineRule="exact"/>
        <w:ind w:firstLine="643"/>
        <w:rPr>
          <w:rFonts w:ascii="仿宋_GB2312"/>
          <w:szCs w:val="32"/>
        </w:rPr>
      </w:pPr>
      <w:r>
        <w:rPr>
          <w:rFonts w:hint="eastAsia" w:ascii="仿宋_GB2312" w:hAnsi="仿宋_GB2312" w:cs="仿宋_GB2312"/>
          <w:b/>
          <w:bCs/>
          <w:szCs w:val="32"/>
        </w:rPr>
        <w:t>5、</w:t>
      </w:r>
      <w:r>
        <w:rPr>
          <w:rFonts w:hint="eastAsia" w:ascii="仿宋_GB2312" w:hAnsi="宋体"/>
          <w:b/>
          <w:bCs/>
          <w:spacing w:val="6"/>
          <w:kern w:val="0"/>
          <w:szCs w:val="32"/>
        </w:rPr>
        <w:t>工业设计。</w:t>
      </w:r>
      <w:r>
        <w:rPr>
          <w:rFonts w:hint="eastAsia" w:ascii="仿宋_GB2312" w:hAnsi="宋体"/>
          <w:spacing w:val="6"/>
          <w:kern w:val="0"/>
          <w:szCs w:val="32"/>
        </w:rPr>
        <w:t>围绕“打造具有全球影响力的工业设计中心城市”建设，深度融入全球设计网络，加速建设全球设计资源要素交流平台。发挥工业设计与技术创新、商业创新、社会创新耦合关联的特性，支持设计企业深度嵌入制造业、现代信息产业链条。引导有条件的制造业企业在杭分设独立运作的工业设计中心，加强众创空间对新兴设计机构和设计品牌的孵化。壮大良渚梦栖工业设计小镇和拱墅运河工业设计小镇产业集群，增强特色小镇对国内外设计机构的集聚效应，加快提升“杭州设计”的品牌效应。规范工业设计标准，探索开展小家电行业和国家智能家居标准制定。到2025年，力争国家级工业设计中心达15家，省级工业设计中心73家，全市主要设计企业服务总收入达到100亿元。</w:t>
      </w:r>
    </w:p>
    <w:p>
      <w:pPr>
        <w:widowControl/>
        <w:spacing w:line="640" w:lineRule="exact"/>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（三）聚力融通创新，贡献金融服务力量</w:t>
      </w:r>
    </w:p>
    <w:p>
      <w:pPr>
        <w:widowControl/>
        <w:spacing w:line="640" w:lineRule="exact"/>
        <w:rPr>
          <w:rFonts w:ascii="仿宋_GB2312" w:hAnsi="仿宋_GB2312" w:cs="仿宋_GB2312"/>
          <w:color w:val="000000"/>
          <w:kern w:val="44"/>
          <w:szCs w:val="32"/>
        </w:rPr>
      </w:pPr>
      <w:r>
        <w:rPr>
          <w:rFonts w:hint="eastAsia" w:ascii="仿宋_GB2312" w:hAnsi="仿宋_GB2312" w:cs="仿宋_GB2312"/>
          <w:color w:val="000000"/>
          <w:kern w:val="44"/>
          <w:szCs w:val="32"/>
        </w:rPr>
        <w:t>以打造杭州国际金融科技中心和浙江新兴金融中心核心区为目标，大力发展金融科技、科创金融、绿色金融等金融服务重点领域，到2025年，力争全市金融业增加值实现2800亿元。</w:t>
      </w:r>
    </w:p>
    <w:p>
      <w:pPr>
        <w:spacing w:line="640" w:lineRule="exact"/>
        <w:ind w:firstLine="643"/>
        <w:rPr>
          <w:rFonts w:hint="eastAsia" w:ascii="仿宋_GB2312" w:hAnsi="宋体"/>
          <w:spacing w:val="6"/>
          <w:kern w:val="0"/>
          <w:szCs w:val="32"/>
        </w:rPr>
      </w:pPr>
      <w:r>
        <w:rPr>
          <w:rFonts w:hint="eastAsia" w:ascii="仿宋_GB2312" w:hAnsi="仿宋_GB2312" w:cs="仿宋_GB2312"/>
          <w:b/>
          <w:bCs/>
          <w:color w:val="000000"/>
          <w:kern w:val="44"/>
          <w:szCs w:val="32"/>
        </w:rPr>
        <w:t>1、金融科技。</w:t>
      </w:r>
      <w:r>
        <w:rPr>
          <w:rFonts w:hint="eastAsia" w:ascii="仿宋_GB2312" w:hAnsi="仿宋_GB2312" w:cs="仿宋_GB2312"/>
          <w:color w:val="000000"/>
          <w:kern w:val="44"/>
          <w:szCs w:val="32"/>
        </w:rPr>
        <w:t>以打造成为中国金融科技引领城市为目标，充分发挥杭州金融科技和民营经济发达优势，以钱塘江金融港湾为主平台，</w:t>
      </w:r>
      <w:r>
        <w:rPr>
          <w:rFonts w:hint="eastAsia" w:ascii="仿宋_GB2312" w:hAnsi="仿宋_GB2312" w:cs="仿宋_GB2312"/>
          <w:szCs w:val="32"/>
        </w:rPr>
        <w:t>推动金融小镇、特色金融集聚区提质扩容，健全金融科技企业梯队培育机制，打造千亿级金融科技产业集群。</w:t>
      </w:r>
      <w:r>
        <w:rPr>
          <w:rFonts w:hint="eastAsia" w:ascii="仿宋_GB2312" w:hAnsi="仿宋_GB2312" w:cs="仿宋_GB2312"/>
          <w:color w:val="000000"/>
          <w:kern w:val="44"/>
          <w:szCs w:val="32"/>
        </w:rPr>
        <w:t>支持总部金融机构发挥持牌优势、高校和重点实验室发挥基础理论优势、金融科技企业发挥技术应用优势，合力开发与应用金融科技关键核心技术，合作构建金融科技“产学研用”创新体系。加快推进金融业数智化转型，支持金融机构利用数字化手段创新金融服务。</w:t>
      </w:r>
      <w:r>
        <w:rPr>
          <w:rFonts w:hint="eastAsia" w:ascii="仿宋_GB2312" w:hAnsi="宋体"/>
          <w:spacing w:val="6"/>
          <w:kern w:val="0"/>
          <w:szCs w:val="32"/>
        </w:rPr>
        <w:t>到2025年，力争全市金融科技领军企业达到10家。</w:t>
      </w:r>
    </w:p>
    <w:p>
      <w:pPr>
        <w:spacing w:line="640" w:lineRule="exact"/>
        <w:ind w:firstLine="643"/>
        <w:rPr>
          <w:rFonts w:hint="eastAsia" w:ascii="仿宋_GB2312" w:hAnsi="仿宋_GB2312" w:cs="仿宋_GB2312"/>
          <w:color w:val="000000"/>
          <w:kern w:val="44"/>
          <w:szCs w:val="32"/>
        </w:rPr>
      </w:pPr>
      <w:r>
        <w:rPr>
          <w:rFonts w:hint="eastAsia" w:ascii="仿宋_GB2312" w:hAnsi="仿宋_GB2312" w:cs="仿宋_GB2312"/>
          <w:b/>
          <w:bCs/>
          <w:color w:val="000000"/>
          <w:kern w:val="44"/>
          <w:szCs w:val="32"/>
        </w:rPr>
        <w:t>2、科创金融。</w:t>
      </w:r>
      <w:r>
        <w:rPr>
          <w:rFonts w:hint="eastAsia" w:ascii="仿宋_GB2312" w:hAnsi="仿宋_GB2312" w:cs="仿宋_GB2312"/>
          <w:color w:val="000000"/>
          <w:kern w:val="44"/>
          <w:szCs w:val="32"/>
        </w:rPr>
        <w:t>以建设国家级科创金融改革试验区为重点，探索构建广渠道、多层次、全覆盖、可持续的区域科创金融服务体系，集聚金融合力推进原始创新、技术创新和产业创新。建立健全科创金融组织机构体系，鼓励设立科技支行、科技贷款中心、科技金融事业部、科技保险等科创专营机构。完善覆盖全生命周期的科创金融产品体系，创新发展知识产权质押贷款、股权质押贷款、应收账款质押贷款、科技保险等各具特色的科创金融产品，加快之江实验室金融智能风控平台等项目落地。加快构建与科创产业相匹配的直接融资体系，大力发展股权投资机构，支持符合条件的科创企业上市。到2025年，力争全市新增科技型上市公司超60家。</w:t>
      </w:r>
    </w:p>
    <w:p>
      <w:pPr>
        <w:spacing w:line="640" w:lineRule="exact"/>
        <w:ind w:firstLine="643"/>
        <w:rPr>
          <w:rFonts w:ascii="仿宋_GB2312" w:hAnsi="楷体" w:cs="楷体"/>
          <w:spacing w:val="6"/>
          <w:kern w:val="0"/>
          <w:szCs w:val="32"/>
        </w:rPr>
      </w:pPr>
      <w:r>
        <w:rPr>
          <w:rFonts w:hint="eastAsia" w:ascii="仿宋_GB2312" w:hAnsi="仿宋_GB2312" w:cs="仿宋_GB2312"/>
          <w:b/>
          <w:bCs/>
          <w:color w:val="000000"/>
          <w:kern w:val="44"/>
          <w:szCs w:val="32"/>
        </w:rPr>
        <w:t>3、绿色金融。</w:t>
      </w:r>
      <w:r>
        <w:rPr>
          <w:rFonts w:hint="eastAsia" w:ascii="仿宋_GB2312" w:hAnsi="仿宋_GB2312" w:cs="仿宋_GB2312"/>
          <w:color w:val="000000"/>
          <w:kern w:val="44"/>
          <w:szCs w:val="32"/>
        </w:rPr>
        <w:t>以服务碳达峰、碳中和国家战略部署，全力打造成为国内领先的区域性绿色金融服务中心为导向，</w:t>
      </w:r>
      <w:r>
        <w:rPr>
          <w:rFonts w:hint="eastAsia" w:ascii="仿宋_GB2312" w:hAnsi="仿宋_GB2312" w:cs="仿宋_GB2312"/>
          <w:szCs w:val="32"/>
        </w:rPr>
        <w:t>引导金融机构动态构建绿色低碳项目、节能减碳技术改造项目、绿色低碳科技成果转化项目“三张清单”，</w:t>
      </w:r>
      <w:r>
        <w:rPr>
          <w:rFonts w:hint="eastAsia" w:ascii="仿宋_GB2312" w:hAnsi="仿宋_GB2312" w:cs="仿宋_GB2312"/>
          <w:color w:val="000000"/>
          <w:kern w:val="44"/>
          <w:szCs w:val="32"/>
        </w:rPr>
        <w:t>推动金融资源向节能环保、清洁能源、绿色交通和绿色建筑等领域倾斜。壮大绿色金融组织体系，发展专业化绿色银行、绿色证券、绿色保险专营机构，丰富金融供给主体。用好碳减排支持工具，激励金融机构为碳减排提供更多资金支持。发挥多层次资本市场作用，支持绿色企业上市，扩大绿色债务融资工具发行规模。探索设立绿色金融产业发展基金、绿色担保基金，撬动更多社会资本用于绿色产业。推动绿色金融改革创新在淳安特别生态功能区先行先试。</w:t>
      </w:r>
      <w:r>
        <w:rPr>
          <w:rFonts w:hint="eastAsia" w:ascii="仿宋_GB2312" w:hAnsi="仿宋_GB2312" w:cs="仿宋_GB2312"/>
          <w:szCs w:val="32"/>
        </w:rPr>
        <w:t>到2025年，力争绿色贷款年均增速不低于20%。</w:t>
      </w:r>
    </w:p>
    <w:p>
      <w:pPr>
        <w:spacing w:line="640" w:lineRule="exact"/>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（四）加快智慧互联，畅通物流服务网络</w:t>
      </w:r>
    </w:p>
    <w:p>
      <w:pPr>
        <w:spacing w:line="640" w:lineRule="exact"/>
        <w:rPr>
          <w:rFonts w:ascii="仿宋_GB2312" w:hAnsi="仿宋_GB2312" w:cs="仿宋_GB2312"/>
          <w:szCs w:val="32"/>
        </w:rPr>
      </w:pPr>
      <w:r>
        <w:rPr>
          <w:rFonts w:hint="eastAsia" w:ascii="仿宋_GB2312" w:hAnsi="仿宋_GB2312" w:cs="仿宋_GB2312"/>
          <w:szCs w:val="32"/>
        </w:rPr>
        <w:t>积极争创国家物流枢纽城市，大力发展航空物流、快递物流、冷链物流、绿色物流、智慧物流等物流服务重点领域，加快打造千亿级现代物流产业集群。到2025年，规上物流企业营收突破3200亿元，全市交通运输、仓储和邮政业增加值突破560亿元。</w:t>
      </w:r>
    </w:p>
    <w:p>
      <w:pPr>
        <w:spacing w:line="640" w:lineRule="exact"/>
        <w:ind w:firstLine="643"/>
        <w:rPr>
          <w:rFonts w:hint="eastAsia" w:ascii="仿宋_GB2312" w:hAnsi="仿宋_GB2312" w:cs="仿宋_GB2312"/>
          <w:szCs w:val="32"/>
        </w:rPr>
      </w:pPr>
      <w:r>
        <w:rPr>
          <w:rFonts w:hint="eastAsia" w:ascii="仿宋_GB2312" w:hAnsi="仿宋_GB2312" w:cs="仿宋_GB2312"/>
          <w:b/>
          <w:bCs/>
          <w:szCs w:val="32"/>
        </w:rPr>
        <w:t>1、航空物流。</w:t>
      </w:r>
      <w:r>
        <w:rPr>
          <w:rFonts w:hint="eastAsia" w:ascii="仿宋_GB2312" w:hAnsi="仿宋_GB2312" w:cs="仿宋_GB2312"/>
          <w:szCs w:val="32"/>
        </w:rPr>
        <w:t>加快推进杭州萧山国际机场改扩建（国际货站及机坪）工程项目、杭州萧山国际机场三期配套东区国内货站工程、杭州空港现代智慧物流产业园等项目建设，提升完善机场物流设施体系。持续拓展口岸资质功能。积极推进原有口岸资质的移址申报，争取9610进口功能。推进杭州国际邮件交换站实体落地，增强国际货运枢纽的基础功能。强化萧山国际航空枢纽功能，优化拓展环球货运航线网络。积极培育有国际竞争力的本土航空货运企业，吸引跨国物流企业在杭州设立跨境转运中心。</w:t>
      </w:r>
    </w:p>
    <w:p>
      <w:pPr>
        <w:spacing w:line="640" w:lineRule="exact"/>
        <w:ind w:firstLine="643"/>
        <w:rPr>
          <w:rFonts w:ascii="仿宋_GB2312" w:hAnsi="仿宋_GB2312" w:cs="仿宋_GB2312"/>
          <w:szCs w:val="32"/>
        </w:rPr>
      </w:pPr>
      <w:r>
        <w:rPr>
          <w:rFonts w:hint="eastAsia" w:ascii="仿宋_GB2312" w:hAnsi="仿宋_GB2312" w:cs="仿宋_GB2312"/>
          <w:b/>
          <w:bCs/>
          <w:szCs w:val="32"/>
        </w:rPr>
        <w:t>2、快递物流。</w:t>
      </w:r>
      <w:r>
        <w:rPr>
          <w:rFonts w:hint="eastAsia" w:ascii="仿宋_GB2312" w:hAnsi="仿宋_GB2312" w:cs="仿宋_GB2312"/>
          <w:szCs w:val="32"/>
        </w:rPr>
        <w:t>加快打造全球一流快递之都，支持快递全产业链发展及创新应用，加大快递区域性总部或者功能性总部招引回归。支持推广复制桐庐农村快递物流“共同配送”国家试点模式，推进桐庐快递科技小镇创建和“快递之乡”建设。大力实施快递业“两进一出”工程行动，加快推进快递业“转型升级”。强化数字赋能，推动自动化分拣设备、无人车、无人机等在行业内的应用。到2025年，快递业务收入超过1000亿元。</w:t>
      </w:r>
    </w:p>
    <w:p>
      <w:pPr>
        <w:spacing w:line="640" w:lineRule="exact"/>
        <w:ind w:firstLine="643"/>
        <w:rPr>
          <w:rFonts w:hint="eastAsia" w:ascii="仿宋_GB2312" w:hAnsi="仿宋_GB2312" w:cs="仿宋_GB2312"/>
          <w:szCs w:val="32"/>
        </w:rPr>
      </w:pPr>
      <w:r>
        <w:rPr>
          <w:rFonts w:hint="eastAsia" w:ascii="仿宋_GB2312" w:hAnsi="仿宋_GB2312" w:cs="仿宋_GB2312"/>
          <w:b/>
          <w:bCs/>
          <w:szCs w:val="32"/>
        </w:rPr>
        <w:t>3、冷链物流。</w:t>
      </w:r>
      <w:r>
        <w:rPr>
          <w:rFonts w:hint="eastAsia" w:ascii="仿宋_GB2312" w:hAnsi="仿宋_GB2312" w:cs="仿宋_GB2312"/>
          <w:szCs w:val="32"/>
        </w:rPr>
        <w:t>强化冷链物流基础设施，支持冷链基础设施投资改造项目，建立市级重点冷链示范项目库。重点支持鲜丰水果华东生鲜智能冷链物流基地、和达冷链基地等省级冷链物流骨干基地开展冷链发展模式创新，积极推广“连锁直销+冷链配送”、“生鲜电商+冷链宅配”、“生产基地+中央厨房+销售终端”等冷链物流新模式。建设冷链物流全链条信息追溯、医疗应急物资冷链配送等数字化应用场景，鼓励冷链运输车温湿度监测设备接入“浙冷链”等系统，提升生鲜、医药冷链运输服务质量。</w:t>
      </w:r>
    </w:p>
    <w:p>
      <w:pPr>
        <w:spacing w:line="640" w:lineRule="exact"/>
        <w:ind w:firstLine="643"/>
        <w:rPr>
          <w:rFonts w:hint="eastAsia" w:ascii="仿宋_GB2312" w:hAnsi="仿宋_GB2312" w:cs="仿宋_GB2312"/>
          <w:szCs w:val="32"/>
        </w:rPr>
      </w:pPr>
      <w:r>
        <w:rPr>
          <w:rFonts w:hint="eastAsia" w:ascii="仿宋_GB2312" w:hAnsi="仿宋_GB2312" w:cs="仿宋_GB2312"/>
          <w:b/>
          <w:bCs/>
          <w:szCs w:val="32"/>
        </w:rPr>
        <w:t>4、绿色物流。</w:t>
      </w:r>
      <w:r>
        <w:rPr>
          <w:rFonts w:hint="eastAsia" w:ascii="仿宋_GB2312" w:hAnsi="仿宋_GB2312" w:cs="仿宋_GB2312"/>
          <w:szCs w:val="32"/>
        </w:rPr>
        <w:t>推动物流园区低碳绿色改造，推进物流包装减量化、循环化利用。提升萧山白鹿塘、下沙港集装箱疏运、堆存和装卸能力，支持利用铁路货运场站开发建设综合物流中心，推进海铁联运持续发展。推进国家综合货运枢纽补链强链，打造辐射国际的空港联运枢纽和连通长三角的陆港联运枢纽。加快建设下沙作业区，加大明智作业区等规划作业区建设力度，提升运河二通道通行能力，大力发展海河联运。到2025年，力争内河港口货物吞吐量突破1.5亿吨，集装箱吞吐量突破12万标箱。</w:t>
      </w:r>
    </w:p>
    <w:p>
      <w:pPr>
        <w:spacing w:line="640" w:lineRule="exact"/>
        <w:ind w:firstLine="643"/>
        <w:rPr>
          <w:rFonts w:ascii="仿宋_GB2312" w:hAnsi="仿宋_GB2312" w:cs="仿宋_GB2312"/>
          <w:szCs w:val="32"/>
        </w:rPr>
      </w:pPr>
      <w:r>
        <w:rPr>
          <w:rFonts w:hint="eastAsia" w:ascii="仿宋_GB2312" w:hAnsi="仿宋_GB2312" w:cs="仿宋_GB2312"/>
          <w:b/>
          <w:bCs/>
          <w:szCs w:val="32"/>
        </w:rPr>
        <w:t>5、智慧物流。</w:t>
      </w:r>
      <w:r>
        <w:rPr>
          <w:rFonts w:hint="eastAsia" w:ascii="仿宋_GB2312" w:hAnsi="仿宋_GB2312" w:cs="仿宋_GB2312"/>
          <w:szCs w:val="32"/>
        </w:rPr>
        <w:t>推动物流企业“上云用数赋智”，广泛应用物联网、云计算、大数据等新一代信息技术，推动传统物流企业转型升级，培育数智化转型示范企业和智慧物流物流园区。推进临空示范区菜鸟e-HUB项目加快实施，支持传化开展“省物流大脑（浙里e物流）”应用试点，推进“一单到底”应用场景建设。推进智慧物流嵌入工业互联网系统，引导物流企业为制造业企业定制供应链管理库存、“线边物流”、供应链一体化解决方案。到2025年，力争数智化转型示范企业达到15家，智慧物流园区达到10家。</w:t>
      </w:r>
    </w:p>
    <w:p>
      <w:pPr>
        <w:spacing w:line="640" w:lineRule="exact"/>
        <w:rPr>
          <w:rFonts w:ascii="楷体_GB2312" w:hAnsi="楷体" w:eastAsia="楷体_GB2312" w:cs="楷体"/>
          <w:szCs w:val="32"/>
        </w:rPr>
      </w:pPr>
      <w:r>
        <w:rPr>
          <w:rFonts w:hint="eastAsia" w:ascii="楷体_GB2312" w:hAnsi="楷体" w:eastAsia="楷体_GB2312" w:cs="楷体"/>
          <w:szCs w:val="32"/>
        </w:rPr>
        <w:t>（五）接轨国际品质，提升商务服务能级</w:t>
      </w:r>
    </w:p>
    <w:p>
      <w:pPr>
        <w:spacing w:line="640" w:lineRule="exact"/>
        <w:rPr>
          <w:rFonts w:ascii="仿宋_GB2312"/>
          <w:szCs w:val="32"/>
        </w:rPr>
      </w:pPr>
      <w:r>
        <w:rPr>
          <w:rFonts w:hint="eastAsia" w:ascii="仿宋_GB2312" w:hAnsi="仿宋_GB2312" w:cs="仿宋_GB2312"/>
          <w:szCs w:val="32"/>
        </w:rPr>
        <w:t>大力发展会展服务、人力资源、创意设计等商务服务重点领域，加快发展总部经济，培育发展楼宇经济。到2025年，力争全市租赁和商务服务业增加值实现600亿元。</w:t>
      </w:r>
    </w:p>
    <w:p>
      <w:pPr>
        <w:spacing w:line="640" w:lineRule="exact"/>
        <w:ind w:firstLine="643"/>
        <w:rPr>
          <w:rFonts w:hint="eastAsia" w:ascii="仿宋_GB2312" w:hAnsi="仿宋_GB2312" w:cs="仿宋_GB2312"/>
          <w:szCs w:val="32"/>
        </w:rPr>
      </w:pPr>
      <w:r>
        <w:rPr>
          <w:rFonts w:hint="eastAsia" w:ascii="仿宋_GB2312" w:hAnsi="仿宋_GB2312" w:cs="仿宋_GB2312"/>
          <w:b/>
          <w:bCs/>
          <w:color w:val="000000"/>
          <w:szCs w:val="32"/>
        </w:rPr>
        <w:t>1、会展服务。</w:t>
      </w:r>
      <w:r>
        <w:rPr>
          <w:rFonts w:hint="eastAsia" w:ascii="仿宋_GB2312" w:hAnsi="仿宋_GB2312" w:cs="仿宋_GB2312"/>
          <w:szCs w:val="32"/>
        </w:rPr>
        <w:t>以建设国际会议目的地、国际会展之都、赛事之城为目标，聚焦产业协同，围绕电子商务、人工智能、云计算、区块链等具有竞争力的数字产业，打造由综合性博览会和多个特色产业展构成的“1+X”数字会展体系。强化会展设施建设，大力推进会展新城、杭州大会展中心、杭州国际博览中心二期建设，新建提升一批会</w:t>
      </w:r>
      <w:r>
        <w:rPr>
          <w:rFonts w:hint="eastAsia" w:ascii="仿宋_GB2312" w:cs="仿宋_GB2312"/>
          <w:color w:val="000000"/>
          <w:szCs w:val="32"/>
        </w:rPr>
        <w:t>展场馆和园区。</w:t>
      </w:r>
      <w:r>
        <w:rPr>
          <w:rFonts w:hint="eastAsia" w:ascii="仿宋_GB2312"/>
          <w:spacing w:val="6"/>
          <w:szCs w:val="32"/>
        </w:rPr>
        <w:t>加强国际知名品牌会展项目引进，培育发展新型品牌会展，扩大品牌会展国际宣</w:t>
      </w:r>
      <w:r>
        <w:rPr>
          <w:rFonts w:hint="eastAsia" w:ascii="仿宋_GB2312" w:hAnsi="仿宋_GB2312" w:cs="仿宋_GB2312"/>
          <w:szCs w:val="32"/>
        </w:rPr>
        <w:t>传、国际输出力度。探索组织制定一批地方标准、团体标准，力争在线上会展、数字会展场馆等领域标准制定上有所突破。到2025年，力争新增国际展览业协会（UFI）认证会展项目3个。</w:t>
      </w:r>
    </w:p>
    <w:p>
      <w:pPr>
        <w:spacing w:line="640" w:lineRule="exact"/>
        <w:ind w:firstLine="643"/>
        <w:rPr>
          <w:rFonts w:ascii="仿宋_GB2312" w:hAnsi="仿宋_GB2312" w:cs="仿宋_GB2312"/>
          <w:szCs w:val="32"/>
        </w:rPr>
      </w:pPr>
      <w:r>
        <w:rPr>
          <w:rFonts w:hint="eastAsia" w:ascii="仿宋_GB2312" w:hAnsi="仿宋_GB2312" w:cs="仿宋_GB2312"/>
          <w:b/>
          <w:bCs/>
          <w:color w:val="000000"/>
          <w:szCs w:val="32"/>
        </w:rPr>
        <w:t>2、人力资源服务。</w:t>
      </w:r>
      <w:r>
        <w:rPr>
          <w:rFonts w:hint="eastAsia" w:ascii="仿宋_GB2312" w:hAnsi="仿宋_GB2312" w:cs="仿宋_GB2312"/>
          <w:color w:val="000000"/>
          <w:szCs w:val="32"/>
        </w:rPr>
        <w:t>高质量建设中国杭州人力资源服务产业园国家级产业平台，</w:t>
      </w:r>
      <w:r>
        <w:rPr>
          <w:rFonts w:hint="eastAsia" w:ascii="仿宋_GB2312" w:hAnsi="仿宋_GB2312" w:cs="仿宋_GB2312"/>
          <w:szCs w:val="32"/>
        </w:rPr>
        <w:t>支持吸引国际头部人力资源服务企业来杭设立机构,鼓励国内人力资源服务企业与国际人才中介机构合作或在海外设立分支机构。加强重点企业培育，重点培育一批有核心产品、成长性好、具有国际竞争力的综合性人力资源服务企业。鼓励人力资源服务企业开发定制化业务，拓展人才项目引进、猎头、咨询等高端业态。加大引才激励力度,引进国家级人才参照引进国家级海外高层次人才享受引才奖励。成立杭州人才集团,集成人才引进、培养、服务等功能,为高层次人才提供全方位、多维度的高品质服务。到2025年，力争建设省级以上人力资源产业园4家以上。</w:t>
      </w:r>
    </w:p>
    <w:p>
      <w:pPr>
        <w:spacing w:line="640" w:lineRule="exact"/>
        <w:ind w:firstLine="643"/>
        <w:rPr>
          <w:rFonts w:hint="eastAsia" w:ascii="仿宋_GB2312" w:hAnsi="宋体"/>
          <w:spacing w:val="6"/>
          <w:kern w:val="0"/>
          <w:szCs w:val="32"/>
        </w:rPr>
      </w:pPr>
      <w:r>
        <w:rPr>
          <w:rFonts w:hint="eastAsia" w:ascii="仿宋_GB2312" w:hAnsi="仿宋_GB2312" w:cs="仿宋_GB2312"/>
          <w:b/>
          <w:bCs/>
          <w:color w:val="000000"/>
          <w:szCs w:val="32"/>
        </w:rPr>
        <w:t>3、</w:t>
      </w:r>
      <w:r>
        <w:rPr>
          <w:rFonts w:hint="eastAsia" w:ascii="仿宋_GB2312" w:hAnsi="宋体"/>
          <w:b/>
          <w:bCs/>
          <w:spacing w:val="6"/>
          <w:kern w:val="0"/>
          <w:szCs w:val="32"/>
        </w:rPr>
        <w:t>创意设计。</w:t>
      </w:r>
      <w:r>
        <w:rPr>
          <w:rFonts w:hint="eastAsia" w:ascii="仿宋_GB2312" w:hAnsi="宋体"/>
          <w:spacing w:val="6"/>
          <w:kern w:val="0"/>
          <w:szCs w:val="32"/>
        </w:rPr>
        <w:t>围绕“打造国际文化创意中心”目标，</w:t>
      </w:r>
      <w:r>
        <w:rPr>
          <w:rFonts w:hint="eastAsia" w:ascii="仿宋_GB2312" w:hAnsi="仿宋_GB2312" w:cs="仿宋_GB2312"/>
          <w:szCs w:val="32"/>
        </w:rPr>
        <w:t>深化文化创意与设计服务等新型、高端服务业融合发展</w:t>
      </w:r>
      <w:r>
        <w:rPr>
          <w:rFonts w:hint="eastAsia" w:ascii="仿宋_GB2312" w:hAnsi="宋体"/>
          <w:spacing w:val="6"/>
          <w:kern w:val="0"/>
          <w:szCs w:val="32"/>
        </w:rPr>
        <w:t>，加快提升广告设计、时尚设计、建筑设计等设计服务的原始创新和集成创新能力,强化创意设计的引领和支撑作用,推进创意设计与文化旅游、观光农业和城市建设等融合发展。发挥梦栖小镇、艺创小镇、艺尚小镇等平台优势,探索创意设计创新发展路径,打造一批创新能力强且具有国际视野的创意设计产业平台。到2025年，力争培育创意设计龙头领军企业10家。</w:t>
      </w:r>
    </w:p>
    <w:p>
      <w:pPr>
        <w:spacing w:line="640" w:lineRule="exact"/>
        <w:ind w:firstLine="643"/>
        <w:rPr>
          <w:rFonts w:ascii="仿宋_GB2312" w:hAnsi="仿宋_GB2312" w:cs="仿宋_GB2312"/>
          <w:szCs w:val="32"/>
        </w:rPr>
      </w:pPr>
      <w:r>
        <w:rPr>
          <w:rFonts w:hint="eastAsia" w:ascii="仿宋_GB2312" w:hAnsi="仿宋_GB2312" w:cs="仿宋_GB2312"/>
          <w:b/>
          <w:bCs/>
          <w:color w:val="000000"/>
          <w:szCs w:val="32"/>
        </w:rPr>
        <w:t>4、</w:t>
      </w:r>
      <w:r>
        <w:rPr>
          <w:rFonts w:hint="eastAsia" w:ascii="仿宋_GB2312" w:hAnsi="宋体"/>
          <w:b/>
          <w:bCs/>
          <w:spacing w:val="6"/>
          <w:kern w:val="0"/>
          <w:szCs w:val="32"/>
        </w:rPr>
        <w:t>总部经济。</w:t>
      </w:r>
      <w:r>
        <w:rPr>
          <w:rFonts w:hint="eastAsia" w:ascii="仿宋_GB2312" w:hAnsi="仿宋_GB2312" w:cs="仿宋_GB2312"/>
          <w:spacing w:val="6"/>
          <w:kern w:val="0"/>
          <w:szCs w:val="32"/>
          <w:shd w:val="clear" w:color="auto" w:fill="FFFFFF"/>
        </w:rPr>
        <w:t>加快打造具有鲜明杭州特色的全国一流总部经济中心。</w:t>
      </w:r>
      <w:r>
        <w:rPr>
          <w:rFonts w:hint="eastAsia" w:ascii="仿宋_GB2312" w:hAnsi="宋体"/>
          <w:spacing w:val="6"/>
          <w:kern w:val="0"/>
          <w:szCs w:val="32"/>
        </w:rPr>
        <w:t>瞄准世界500强、国际500强、央企、上市公司等龙头企业，谋划招引清单，建立市区协同招引专班和</w:t>
      </w:r>
      <w:r>
        <w:rPr>
          <w:rFonts w:hint="eastAsia" w:ascii="仿宋_GB2312"/>
          <w:spacing w:val="6"/>
          <w:szCs w:val="32"/>
        </w:rPr>
        <w:t>总部经济领导小组</w:t>
      </w:r>
      <w:r>
        <w:rPr>
          <w:rFonts w:hint="eastAsia" w:ascii="仿宋_GB2312" w:hAnsi="宋体"/>
          <w:spacing w:val="6"/>
          <w:kern w:val="0"/>
          <w:szCs w:val="32"/>
        </w:rPr>
        <w:t>，加强项目落地支持力度，加快优质总部项目在城西科创大走廊、城东智造大走廊、钱江新城、钱江世纪城等板块落地。</w:t>
      </w:r>
      <w:r>
        <w:rPr>
          <w:rFonts w:hint="eastAsia" w:ascii="仿宋_GB2312" w:hAnsi="仿宋_GB2312" w:cs="仿宋_GB2312"/>
          <w:spacing w:val="6"/>
          <w:kern w:val="0"/>
          <w:szCs w:val="32"/>
          <w:shd w:val="clear" w:color="auto" w:fill="FFFFFF"/>
        </w:rPr>
        <w:t>出台总部经济高质量发展政策，</w:t>
      </w:r>
      <w:r>
        <w:rPr>
          <w:rFonts w:hint="eastAsia" w:ascii="仿宋_GB2312"/>
          <w:spacing w:val="6"/>
          <w:szCs w:val="32"/>
        </w:rPr>
        <w:t>深入实施“星级培育”、“招大引强”、“杭商回家”计划，进一步加强总部企业培育、招引和回归力度。每年开展总部企业认定，对符合标准的总部企业予以一定的财政补助。</w:t>
      </w:r>
      <w:r>
        <w:rPr>
          <w:rFonts w:hint="eastAsia" w:ascii="仿宋_GB2312" w:hAnsi="仿宋_GB2312" w:cs="仿宋_GB2312"/>
          <w:spacing w:val="6"/>
          <w:kern w:val="0"/>
          <w:szCs w:val="32"/>
          <w:shd w:val="clear" w:color="auto" w:fill="FFFFFF"/>
        </w:rPr>
        <w:t>到2025年，力争总部企业数量新增100家以上，百亿级总部企业突破60家以上，千亿级总部企业突破10家以上。</w:t>
      </w:r>
    </w:p>
    <w:p>
      <w:pPr>
        <w:spacing w:line="640" w:lineRule="exact"/>
        <w:rPr>
          <w:rFonts w:ascii="黑体" w:hAnsi="黑体" w:eastAsia="黑体" w:cs="黑体"/>
          <w:szCs w:val="32"/>
        </w:rPr>
      </w:pPr>
      <w:r>
        <w:rPr>
          <w:rFonts w:hint="eastAsia" w:ascii="黑体" w:hAnsi="黑体" w:eastAsia="黑体" w:cs="黑体"/>
          <w:szCs w:val="32"/>
        </w:rPr>
        <w:t>四、保障措施</w:t>
      </w:r>
    </w:p>
    <w:p>
      <w:pPr>
        <w:spacing w:line="640" w:lineRule="exact"/>
        <w:ind w:firstLine="616"/>
        <w:rPr>
          <w:rFonts w:ascii="楷体_GB2312" w:hAnsi="楷体" w:eastAsia="楷体_GB2312" w:cs="楷体"/>
          <w:bCs/>
          <w:spacing w:val="-6"/>
          <w:szCs w:val="32"/>
        </w:rPr>
      </w:pPr>
      <w:r>
        <w:rPr>
          <w:rFonts w:hint="eastAsia" w:ascii="楷体_GB2312" w:hAnsi="楷体" w:eastAsia="楷体_GB2312" w:cs="楷体"/>
          <w:bCs/>
          <w:spacing w:val="-6"/>
          <w:szCs w:val="32"/>
        </w:rPr>
        <w:t>（一）加强组织领导。</w:t>
      </w:r>
    </w:p>
    <w:p>
      <w:pPr>
        <w:spacing w:line="640" w:lineRule="exact"/>
        <w:rPr>
          <w:rFonts w:ascii="仿宋_GB2312" w:hAnsi="Times New Roman"/>
          <w:szCs w:val="32"/>
        </w:rPr>
      </w:pPr>
      <w:r>
        <w:rPr>
          <w:rFonts w:hint="eastAsia" w:ascii="仿宋_GB2312" w:hAnsi="仿宋_GB2312" w:cs="仿宋_GB2312"/>
          <w:bCs/>
          <w:szCs w:val="32"/>
        </w:rPr>
        <w:t>充分发挥市现代服务业发展工作领导小组的统筹协调作用，</w:t>
      </w:r>
      <w:r>
        <w:rPr>
          <w:rFonts w:hint="eastAsia" w:ascii="仿宋_GB2312" w:hAnsi="Times New Roman"/>
          <w:szCs w:val="32"/>
        </w:rPr>
        <w:t>在建立全市现代服务业</w:t>
      </w:r>
      <w:bookmarkStart w:id="0" w:name="_Hlk104755013"/>
      <w:r>
        <w:rPr>
          <w:rFonts w:hint="eastAsia" w:ascii="仿宋_GB2312" w:hAnsi="Times New Roman"/>
          <w:szCs w:val="32"/>
        </w:rPr>
        <w:t>双月协调</w:t>
      </w:r>
      <w:bookmarkEnd w:id="0"/>
      <w:r>
        <w:rPr>
          <w:rFonts w:hint="eastAsia" w:ascii="仿宋_GB2312" w:hAnsi="Times New Roman"/>
          <w:szCs w:val="32"/>
        </w:rPr>
        <w:t>例会机制的基础上，进一步强化全市统筹、市区（县）协同、条块联动，加大工作力度，</w:t>
      </w:r>
      <w:r>
        <w:rPr>
          <w:rFonts w:hint="eastAsia" w:ascii="仿宋_GB2312" w:hAnsi="仿宋_GB2312" w:cs="仿宋_GB2312"/>
          <w:bCs/>
          <w:szCs w:val="32"/>
        </w:rPr>
        <w:t>加快</w:t>
      </w:r>
      <w:r>
        <w:rPr>
          <w:rFonts w:hint="eastAsia" w:ascii="仿宋_GB2312" w:hAnsi="Times New Roman"/>
          <w:szCs w:val="32"/>
        </w:rPr>
        <w:t>建立生产性服务业推进机制</w:t>
      </w:r>
      <w:r>
        <w:rPr>
          <w:rFonts w:hint="eastAsia" w:ascii="仿宋_GB2312" w:hAnsi="仿宋_GB2312" w:cs="仿宋_GB2312"/>
          <w:bCs/>
          <w:szCs w:val="32"/>
        </w:rPr>
        <w:t>。</w:t>
      </w:r>
      <w:r>
        <w:rPr>
          <w:rFonts w:hint="eastAsia" w:ascii="仿宋_GB2312" w:hAnsi="Times New Roman"/>
          <w:szCs w:val="32"/>
        </w:rPr>
        <w:t>市发改委牵头统筹推进生产性服务业集聚地建设工作，数字服务由市经信局牵头负责，科技服务由市科技局牵头负责，金融服务由市地方金融监管局牵头负责，物流服务由市发改委牵头负责，商务服务由市商务局牵头负责，并形成1个实施方案+5个行动计划。各区县同步建立相应工作机构和推进机制，共同推进全市生产性服务业发展。</w:t>
      </w:r>
    </w:p>
    <w:p>
      <w:pPr>
        <w:spacing w:line="640" w:lineRule="exact"/>
        <w:ind w:left="643" w:firstLine="0" w:firstLineChars="0"/>
        <w:rPr>
          <w:rFonts w:ascii="楷体_GB2312" w:eastAsia="楷体_GB2312"/>
          <w:color w:val="000000"/>
          <w:szCs w:val="32"/>
        </w:rPr>
      </w:pPr>
      <w:r>
        <w:rPr>
          <w:rFonts w:hint="eastAsia" w:ascii="楷体_GB2312" w:hAnsi="楷体" w:eastAsia="楷体_GB2312" w:cs="楷体"/>
          <w:szCs w:val="32"/>
        </w:rPr>
        <w:t>（二）加强要素保障。</w:t>
      </w:r>
    </w:p>
    <w:p>
      <w:pPr>
        <w:spacing w:line="640" w:lineRule="exact"/>
        <w:rPr>
          <w:rFonts w:ascii="仿宋_GB2312"/>
          <w:szCs w:val="32"/>
        </w:rPr>
      </w:pPr>
      <w:r>
        <w:rPr>
          <w:rFonts w:hint="eastAsia" w:ascii="仿宋_GB2312" w:hAnsi="Times New Roman" w:cs="Times New Roman"/>
          <w:szCs w:val="32"/>
        </w:rPr>
        <w:t>强化生产性服务业在土地、人才、资金等方面的保障力度。探索支持重大服务业用地的政策意见，鼓励工业企业利用自有的存量土地兴办促进企业转型升级的生产性服务业企业。放宽生产性服务业人才认定办法，按企业地方贡献度给予认定名额。加快引进和培育服务业骨干型创新团队。创新财政资金使用方式，通过财政支持融资性担保、政府产业基金等市场化经济方式，支持生产性服务业行业稳定发展。</w:t>
      </w:r>
    </w:p>
    <w:p>
      <w:pPr>
        <w:spacing w:line="640" w:lineRule="exact"/>
        <w:ind w:left="643" w:firstLine="0" w:firstLineChars="0"/>
        <w:rPr>
          <w:rFonts w:ascii="楷体_GB2312" w:hAnsi="楷体" w:eastAsia="楷体_GB2312" w:cs="楷体"/>
          <w:szCs w:val="32"/>
        </w:rPr>
      </w:pPr>
      <w:r>
        <w:rPr>
          <w:rFonts w:hint="eastAsia" w:ascii="楷体_GB2312" w:hAnsi="楷体" w:eastAsia="楷体_GB2312" w:cs="楷体"/>
          <w:szCs w:val="32"/>
        </w:rPr>
        <w:t>（三）加强宣传激励。</w:t>
      </w:r>
    </w:p>
    <w:p>
      <w:pPr>
        <w:pStyle w:val="6"/>
        <w:spacing w:line="640" w:lineRule="exact"/>
        <w:ind w:firstLine="640"/>
        <w:rPr>
          <w:rFonts w:ascii="仿宋_GB2312" w:hAnsi="楷体_GB2312" w:cs="楷体_GB2312"/>
          <w:szCs w:val="32"/>
        </w:rPr>
      </w:pPr>
      <w:r>
        <w:rPr>
          <w:rFonts w:hint="eastAsia" w:ascii="仿宋_GB2312" w:hAnsi="Times New Roman" w:cs="Times New Roman"/>
          <w:szCs w:val="32"/>
        </w:rPr>
        <w:t>用好国家、省、市各类主流媒体和新媒体，定期发布杭州生产性服务业年度发展报告，大力宣传杭州生产性服务业亮点成效、可复制推广经验和典型案例。</w:t>
      </w:r>
      <w:r>
        <w:rPr>
          <w:rFonts w:hint="eastAsia" w:ascii="仿宋_GB2312"/>
          <w:szCs w:val="32"/>
        </w:rPr>
        <w:t>评选“杭州市服务业领军型企业、创新型企业”，对入选的生产性服务业企业给予一定资金</w:t>
      </w:r>
      <w:r>
        <w:rPr>
          <w:rFonts w:hint="eastAsia" w:ascii="仿宋_GB2312" w:hAnsi="Times New Roman" w:cs="Times New Roman"/>
          <w:szCs w:val="32"/>
        </w:rPr>
        <w:t>奖励。对推进现代服务业工作中涌现的先进集体和个人予以表扬。</w:t>
      </w:r>
    </w:p>
    <w:p>
      <w:pPr>
        <w:spacing w:line="640" w:lineRule="exact"/>
        <w:ind w:left="643" w:firstLine="0" w:firstLineChars="0"/>
        <w:rPr>
          <w:rFonts w:ascii="楷体_GB2312" w:hAnsi="楷体" w:eastAsia="楷体_GB2312" w:cs="楷体"/>
          <w:szCs w:val="32"/>
        </w:rPr>
      </w:pPr>
      <w:r>
        <w:rPr>
          <w:rFonts w:hint="eastAsia" w:ascii="楷体_GB2312" w:hAnsi="楷体" w:eastAsia="楷体_GB2312" w:cs="楷体"/>
          <w:szCs w:val="32"/>
        </w:rPr>
        <w:t>（四）加强监测考核。</w:t>
      </w:r>
    </w:p>
    <w:p>
      <w:pPr>
        <w:pStyle w:val="6"/>
        <w:spacing w:line="640" w:lineRule="exact"/>
        <w:ind w:firstLine="640"/>
      </w:pPr>
      <w:r>
        <w:rPr>
          <w:rFonts w:hint="eastAsia" w:ascii="仿宋_GB2312" w:hAnsi="Times New Roman"/>
          <w:color w:val="000000"/>
          <w:szCs w:val="32"/>
        </w:rPr>
        <w:t>健全完善生产性服务业数据统计体系，每季度提供生产性服务业增加值等有关数据，加强生产性服务业发展的监测、预警和分析。确定生产性服务业核心关键指标，由相关牵头部门具体落实。</w:t>
      </w:r>
      <w:r>
        <w:rPr>
          <w:rFonts w:hint="eastAsia" w:ascii="仿宋_GB2312" w:hAnsi="Times New Roman" w:cs="Times New Roman"/>
          <w:bCs/>
          <w:color w:val="000000"/>
          <w:szCs w:val="32"/>
        </w:rPr>
        <w:t>建立督查考核机制，制定年度目标任务，对行业主管部门和区（县、市）同步下指标、同步考核。</w:t>
      </w:r>
    </w:p>
    <w:sectPr>
      <w:headerReference r:id="rId5" w:type="default"/>
      <w:footerReference r:id="rId6" w:type="default"/>
      <w:pgSz w:w="11906" w:h="16838"/>
      <w:pgMar w:top="1797" w:right="1440" w:bottom="1797" w:left="1440" w:header="851" w:footer="992" w:gutter="0"/>
      <w:cols w:space="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74AFD471-F561-4F93-B390-E2A94389C1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DA7251D-A074-4B78-8816-31F0734C9228}"/>
  </w:font>
  <w:font w:name="楷体">
    <w:panose1 w:val="02010609060101010101"/>
    <w:charset w:val="86"/>
    <w:family w:val="modern"/>
    <w:pitch w:val="default"/>
    <w:sig w:usb0="800002BF" w:usb1="38CF7CFA" w:usb2="00000016" w:usb3="00000000" w:csb0="00040001" w:csb1="00000000"/>
    <w:embedRegular r:id="rId3" w:fontKey="{FDF84661-A659-4A23-94D1-05BFD804291B}"/>
  </w:font>
  <w:font w:name="楷体_GB2312">
    <w:panose1 w:val="02010609030101010101"/>
    <w:charset w:val="86"/>
    <w:family w:val="modern"/>
    <w:pitch w:val="default"/>
    <w:sig w:usb0="00000001" w:usb1="080E0000" w:usb2="00000000" w:usb3="00000000" w:csb0="00040000" w:csb1="00000000"/>
    <w:embedRegular r:id="rId4" w:fontKey="{ED2DBE7F-B260-4A91-BD5F-4615EA093D4F}"/>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5" w:fontKey="{B73D387B-BC13-4E69-9B59-86A5095AFE4B}"/>
  </w:font>
  <w:font w:name="小标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2761236"/>
      <w:docPartObj>
        <w:docPartGallery w:val="AutoText"/>
      </w:docPartObj>
    </w:sdtPr>
    <w:sdtContent>
      <w:p>
        <w:pPr>
          <w:pStyle w:val="8"/>
          <w:ind w:firstLine="360"/>
          <w:jc w:val="center"/>
        </w:pPr>
        <w:r>
          <w:fldChar w:fldCharType="begin"/>
        </w:r>
        <w:r>
          <w:instrText xml:space="preserve">PAGE   \* MERGEFORMAT</w:instrText>
        </w:r>
        <w:r>
          <w:fldChar w:fldCharType="separate"/>
        </w:r>
        <w:r>
          <w:rPr>
            <w:lang w:val="zh-CN"/>
          </w:rPr>
          <w:t>2</w:t>
        </w:r>
        <w:r>
          <w:fldChar w:fldCharType="end"/>
        </w:r>
      </w:p>
    </w:sdtContent>
  </w:sdt>
  <w:p>
    <w:pPr>
      <w:pStyle w:val="8"/>
      <w:tabs>
        <w:tab w:val="left" w:pos="7915"/>
        <w:tab w:val="clear" w:pos="4153"/>
        <w:tab w:val="clear" w:pos="8306"/>
      </w:tabs>
      <w:ind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pStyle w:val="4"/>
      <w:suff w:val="nothing"/>
      <w:lvlText w:val="（%1）"/>
      <w:lvlJc w:val="left"/>
      <w:pPr>
        <w:ind w:left="-420" w:firstLine="420"/>
      </w:pPr>
      <w:rPr>
        <w:rFonts w:hint="eastAsia" w:ascii="楷体" w:hAnsi="楷体" w:eastAsia="楷体" w:cs="楷体"/>
        <w:b/>
        <w:bCs/>
      </w:rPr>
    </w:lvl>
  </w:abstractNum>
  <w:abstractNum w:abstractNumId="1">
    <w:nsid w:val="00000004"/>
    <w:multiLevelType w:val="singleLevel"/>
    <w:tmpl w:val="00000004"/>
    <w:lvl w:ilvl="0" w:tentative="0">
      <w:start w:val="1"/>
      <w:numFmt w:val="chineseCounting"/>
      <w:pStyle w:val="3"/>
      <w:suff w:val="nothing"/>
      <w:lvlText w:val="%1、"/>
      <w:lvlJc w:val="left"/>
      <w:pPr>
        <w:ind w:left="220" w:firstLine="420"/>
      </w:pPr>
      <w:rPr>
        <w:rFonts w:hint="eastAsia"/>
      </w:rPr>
    </w:lvl>
  </w:abstractNum>
  <w:abstractNum w:abstractNumId="2">
    <w:nsid w:val="00863AA0"/>
    <w:multiLevelType w:val="multilevel"/>
    <w:tmpl w:val="00863AA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218"/>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MDc0MzY0MzZjZDFiNmQwYWJmOGZkOTBlNmZiYzcifQ=="/>
  </w:docVars>
  <w:rsids>
    <w:rsidRoot w:val="00015DF8"/>
    <w:rsid w:val="00015DF8"/>
    <w:rsid w:val="00033209"/>
    <w:rsid w:val="00067140"/>
    <w:rsid w:val="00086074"/>
    <w:rsid w:val="000D4A4C"/>
    <w:rsid w:val="001753D9"/>
    <w:rsid w:val="001C7583"/>
    <w:rsid w:val="002E089D"/>
    <w:rsid w:val="006306EA"/>
    <w:rsid w:val="006B4F71"/>
    <w:rsid w:val="007942DF"/>
    <w:rsid w:val="007B2502"/>
    <w:rsid w:val="007E055C"/>
    <w:rsid w:val="00861604"/>
    <w:rsid w:val="00863A7B"/>
    <w:rsid w:val="008915D7"/>
    <w:rsid w:val="00A6122D"/>
    <w:rsid w:val="00AD33FA"/>
    <w:rsid w:val="00BF49C4"/>
    <w:rsid w:val="00D1308A"/>
    <w:rsid w:val="00E43F2D"/>
    <w:rsid w:val="049A3DD9"/>
    <w:rsid w:val="072B39CD"/>
    <w:rsid w:val="07EC76A0"/>
    <w:rsid w:val="0C477295"/>
    <w:rsid w:val="0D894C89"/>
    <w:rsid w:val="10AB142F"/>
    <w:rsid w:val="11BD6FF4"/>
    <w:rsid w:val="12F9640D"/>
    <w:rsid w:val="137631A2"/>
    <w:rsid w:val="15F00D99"/>
    <w:rsid w:val="164A7369"/>
    <w:rsid w:val="16620E1B"/>
    <w:rsid w:val="18CE2FFF"/>
    <w:rsid w:val="1982099B"/>
    <w:rsid w:val="1A672B7D"/>
    <w:rsid w:val="1B094B90"/>
    <w:rsid w:val="1B2D1349"/>
    <w:rsid w:val="1C590B4F"/>
    <w:rsid w:val="1CC05B57"/>
    <w:rsid w:val="1E28404A"/>
    <w:rsid w:val="1E8F5E77"/>
    <w:rsid w:val="1FA6126F"/>
    <w:rsid w:val="25925115"/>
    <w:rsid w:val="25950D9D"/>
    <w:rsid w:val="26810E4F"/>
    <w:rsid w:val="26E33204"/>
    <w:rsid w:val="2E6C1D31"/>
    <w:rsid w:val="2E744869"/>
    <w:rsid w:val="2E78370C"/>
    <w:rsid w:val="2F592A96"/>
    <w:rsid w:val="32F032F9"/>
    <w:rsid w:val="332D4643"/>
    <w:rsid w:val="332E4078"/>
    <w:rsid w:val="35176F06"/>
    <w:rsid w:val="3558300F"/>
    <w:rsid w:val="368D6CE8"/>
    <w:rsid w:val="36CC2CC0"/>
    <w:rsid w:val="38CC7030"/>
    <w:rsid w:val="3A7C154E"/>
    <w:rsid w:val="3AB64C17"/>
    <w:rsid w:val="3C8A1D00"/>
    <w:rsid w:val="3DAE70DB"/>
    <w:rsid w:val="3E067AAC"/>
    <w:rsid w:val="3F5E7474"/>
    <w:rsid w:val="3FA76A89"/>
    <w:rsid w:val="403901E9"/>
    <w:rsid w:val="411E54B6"/>
    <w:rsid w:val="41644995"/>
    <w:rsid w:val="41850CE8"/>
    <w:rsid w:val="42890CAC"/>
    <w:rsid w:val="42B15B0D"/>
    <w:rsid w:val="42C02EB8"/>
    <w:rsid w:val="43EA577A"/>
    <w:rsid w:val="445437E3"/>
    <w:rsid w:val="4556576B"/>
    <w:rsid w:val="455C26A8"/>
    <w:rsid w:val="468C3F72"/>
    <w:rsid w:val="46B61944"/>
    <w:rsid w:val="46C10BC3"/>
    <w:rsid w:val="46DB13AA"/>
    <w:rsid w:val="47AB6FCE"/>
    <w:rsid w:val="4C6065D9"/>
    <w:rsid w:val="4D072EF9"/>
    <w:rsid w:val="4E9904C8"/>
    <w:rsid w:val="51A347B4"/>
    <w:rsid w:val="555D2250"/>
    <w:rsid w:val="55D818D6"/>
    <w:rsid w:val="563B3C13"/>
    <w:rsid w:val="589139F5"/>
    <w:rsid w:val="5A3B0686"/>
    <w:rsid w:val="5C2A0145"/>
    <w:rsid w:val="5C56760E"/>
    <w:rsid w:val="5CCD7CBB"/>
    <w:rsid w:val="5E5937C0"/>
    <w:rsid w:val="5F624FA6"/>
    <w:rsid w:val="6215598B"/>
    <w:rsid w:val="63C33BC6"/>
    <w:rsid w:val="641B7C27"/>
    <w:rsid w:val="64F66293"/>
    <w:rsid w:val="693469CC"/>
    <w:rsid w:val="69382960"/>
    <w:rsid w:val="69A53D2B"/>
    <w:rsid w:val="69C13898"/>
    <w:rsid w:val="6C77554D"/>
    <w:rsid w:val="6F0137F4"/>
    <w:rsid w:val="6F3941EE"/>
    <w:rsid w:val="74163919"/>
    <w:rsid w:val="76502D97"/>
    <w:rsid w:val="7710270E"/>
    <w:rsid w:val="779C055E"/>
    <w:rsid w:val="77BD4C91"/>
    <w:rsid w:val="77C701C7"/>
    <w:rsid w:val="78C95383"/>
    <w:rsid w:val="797853DC"/>
    <w:rsid w:val="7B947314"/>
    <w:rsid w:val="7DB52645"/>
    <w:rsid w:val="7E285ADC"/>
    <w:rsid w:val="7EE348D6"/>
    <w:rsid w:val="7F32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99"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Calibri" w:hAnsi="Calibri" w:eastAsia="仿宋_GB2312" w:cs="宋体"/>
      <w:kern w:val="2"/>
      <w:sz w:val="32"/>
      <w:szCs w:val="24"/>
      <w:lang w:val="en-US" w:eastAsia="zh-CN" w:bidi="ar-SA"/>
    </w:rPr>
  </w:style>
  <w:style w:type="paragraph" w:styleId="3">
    <w:name w:val="heading 1"/>
    <w:basedOn w:val="1"/>
    <w:next w:val="1"/>
    <w:qFormat/>
    <w:uiPriority w:val="0"/>
    <w:pPr>
      <w:keepNext/>
      <w:keepLines/>
      <w:numPr>
        <w:ilvl w:val="0"/>
        <w:numId w:val="1"/>
      </w:numPr>
      <w:outlineLvl w:val="0"/>
    </w:pPr>
    <w:rPr>
      <w:rFonts w:eastAsia="黑体"/>
      <w:kern w:val="44"/>
    </w:rPr>
  </w:style>
  <w:style w:type="paragraph" w:styleId="4">
    <w:name w:val="heading 2"/>
    <w:basedOn w:val="1"/>
    <w:next w:val="1"/>
    <w:qFormat/>
    <w:uiPriority w:val="0"/>
    <w:pPr>
      <w:keepNext/>
      <w:keepLines/>
      <w:numPr>
        <w:ilvl w:val="0"/>
        <w:numId w:val="2"/>
      </w:numPr>
      <w:spacing w:line="413" w:lineRule="auto"/>
      <w:outlineLvl w:val="1"/>
    </w:pPr>
    <w:rPr>
      <w:rFonts w:eastAsia="楷体_GB2312"/>
      <w:b/>
    </w:rPr>
  </w:style>
  <w:style w:type="paragraph" w:styleId="5">
    <w:name w:val="heading 3"/>
    <w:basedOn w:val="1"/>
    <w:next w:val="1"/>
    <w:qFormat/>
    <w:uiPriority w:val="0"/>
    <w:pPr>
      <w:spacing w:beforeAutospacing="1" w:afterAutospacing="1"/>
      <w:jc w:val="left"/>
      <w:outlineLvl w:val="2"/>
    </w:pPr>
    <w:rPr>
      <w:rFonts w:hint="eastAsia" w:ascii="宋体" w:hAnsi="宋体" w:eastAsia="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Normal Indent"/>
    <w:basedOn w:val="1"/>
    <w:next w:val="7"/>
    <w:qFormat/>
    <w:uiPriority w:val="99"/>
    <w:pPr>
      <w:ind w:firstLine="420"/>
    </w:pPr>
  </w:style>
  <w:style w:type="paragraph" w:styleId="7">
    <w:name w:val="toc 8"/>
    <w:next w:val="1"/>
    <w:semiHidden/>
    <w:qFormat/>
    <w:uiPriority w:val="99"/>
    <w:pPr>
      <w:widowControl w:val="0"/>
      <w:snapToGrid w:val="0"/>
      <w:spacing w:line="240" w:lineRule="exact"/>
      <w:ind w:left="2940" w:leftChars="1400"/>
      <w:jc w:val="both"/>
    </w:pPr>
    <w:rPr>
      <w:rFonts w:ascii="Calibri" w:hAnsi="Calibri" w:eastAsia="宋体" w:cs="Calibri"/>
      <w:kern w:val="2"/>
      <w:sz w:val="21"/>
      <w:szCs w:val="21"/>
      <w:lang w:val="en-US" w:eastAsia="zh-CN" w:bidi="ar-SA"/>
    </w:rPr>
  </w:style>
  <w:style w:type="paragraph" w:styleId="8">
    <w:name w:val="footer"/>
    <w:basedOn w:val="1"/>
    <w:link w:val="25"/>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11">
    <w:name w:val="Normal (Web)"/>
    <w:basedOn w:val="1"/>
    <w:qFormat/>
    <w:uiPriority w:val="0"/>
    <w:pPr>
      <w:spacing w:before="100" w:beforeAutospacing="1" w:after="100" w:afterAutospacing="1"/>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0"/>
    <w:rPr>
      <w:i/>
    </w:rPr>
  </w:style>
  <w:style w:type="character" w:styleId="16">
    <w:name w:val="Hyperlink"/>
    <w:basedOn w:val="14"/>
    <w:qFormat/>
    <w:uiPriority w:val="0"/>
    <w:rPr>
      <w:color w:val="0000FF"/>
      <w:u w:val="single"/>
    </w:rPr>
  </w:style>
  <w:style w:type="paragraph" w:customStyle="1" w:styleId="17">
    <w:name w:val="Char"/>
    <w:basedOn w:val="1"/>
    <w:qFormat/>
    <w:uiPriority w:val="0"/>
    <w:rPr>
      <w:rFonts w:eastAsia="宋体"/>
    </w:rPr>
  </w:style>
  <w:style w:type="paragraph" w:customStyle="1" w:styleId="18">
    <w:name w:val="正文缩进1"/>
    <w:qFormat/>
    <w:uiPriority w:val="0"/>
    <w:pPr>
      <w:widowControl w:val="0"/>
      <w:ind w:firstLine="420"/>
      <w:jc w:val="both"/>
    </w:pPr>
    <w:rPr>
      <w:rFonts w:ascii="Times New Roman" w:hAnsi="Times New Roman" w:eastAsia="仿宋_GB2312" w:cs="Times New Roman"/>
      <w:kern w:val="2"/>
      <w:sz w:val="32"/>
      <w:lang w:val="en-US" w:eastAsia="zh-CN" w:bidi="ar-SA"/>
    </w:rPr>
  </w:style>
  <w:style w:type="paragraph" w:styleId="19">
    <w:name w:val="List Paragraph"/>
    <w:basedOn w:val="1"/>
    <w:qFormat/>
    <w:uiPriority w:val="34"/>
    <w:pPr>
      <w:ind w:firstLine="420"/>
    </w:pPr>
  </w:style>
  <w:style w:type="character" w:customStyle="1" w:styleId="20">
    <w:name w:val="font91"/>
    <w:basedOn w:val="14"/>
    <w:qFormat/>
    <w:uiPriority w:val="0"/>
    <w:rPr>
      <w:rFonts w:hint="eastAsia" w:ascii="仿宋_GB2312" w:eastAsia="仿宋_GB2312" w:cs="仿宋_GB2312"/>
      <w:color w:val="262626"/>
      <w:sz w:val="22"/>
      <w:szCs w:val="22"/>
      <w:u w:val="none"/>
    </w:rPr>
  </w:style>
  <w:style w:type="character" w:customStyle="1" w:styleId="21">
    <w:name w:val="font11"/>
    <w:basedOn w:val="14"/>
    <w:qFormat/>
    <w:uiPriority w:val="0"/>
    <w:rPr>
      <w:rFonts w:hint="eastAsia" w:ascii="仿宋_GB2312" w:eastAsia="仿宋_GB2312" w:cs="仿宋_GB2312"/>
      <w:color w:val="C00000"/>
      <w:sz w:val="22"/>
      <w:szCs w:val="22"/>
      <w:u w:val="none"/>
    </w:rPr>
  </w:style>
  <w:style w:type="character" w:customStyle="1" w:styleId="22">
    <w:name w:val="font71"/>
    <w:basedOn w:val="14"/>
    <w:qFormat/>
    <w:uiPriority w:val="0"/>
    <w:rPr>
      <w:rFonts w:hint="eastAsia" w:ascii="仿宋_GB2312" w:eastAsia="仿宋_GB2312" w:cs="仿宋_GB2312"/>
      <w:color w:val="000000"/>
      <w:sz w:val="22"/>
      <w:szCs w:val="22"/>
      <w:u w:val="none"/>
    </w:rPr>
  </w:style>
  <w:style w:type="character" w:customStyle="1" w:styleId="23">
    <w:name w:val="font112"/>
    <w:basedOn w:val="14"/>
    <w:qFormat/>
    <w:uiPriority w:val="0"/>
    <w:rPr>
      <w:rFonts w:hint="eastAsia" w:ascii="仿宋_GB2312" w:eastAsia="仿宋_GB2312" w:cs="仿宋_GB2312"/>
      <w:color w:val="FF0000"/>
      <w:sz w:val="22"/>
      <w:szCs w:val="22"/>
      <w:u w:val="none"/>
    </w:rPr>
  </w:style>
  <w:style w:type="character" w:customStyle="1" w:styleId="24">
    <w:name w:val="font41"/>
    <w:basedOn w:val="14"/>
    <w:qFormat/>
    <w:uiPriority w:val="0"/>
    <w:rPr>
      <w:rFonts w:hint="eastAsia" w:ascii="仿宋_GB2312" w:eastAsia="仿宋_GB2312" w:cs="仿宋_GB2312"/>
      <w:color w:val="000000"/>
      <w:sz w:val="22"/>
      <w:szCs w:val="22"/>
      <w:u w:val="none"/>
    </w:rPr>
  </w:style>
  <w:style w:type="character" w:customStyle="1" w:styleId="25">
    <w:name w:val="页脚 字符"/>
    <w:basedOn w:val="14"/>
    <w:link w:val="8"/>
    <w:qFormat/>
    <w:uiPriority w:val="99"/>
    <w:rPr>
      <w:rFonts w:ascii="Calibri" w:hAnsi="Calibri" w:eastAsia="仿宋_GB2312" w:cs="宋体"/>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8385</Words>
  <Characters>8596</Characters>
  <Lines>112</Lines>
  <Paragraphs>31</Paragraphs>
  <TotalTime>6</TotalTime>
  <ScaleCrop>false</ScaleCrop>
  <LinksUpToDate>false</LinksUpToDate>
  <CharactersWithSpaces>8601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2022-09-14T10:29:00Z</dcterms:created>
  <dc:creator>Administrator</dc:creator>
  <cp:lastModifiedBy>A</cp:lastModifiedBy>
  <cp:lastPrinted>2022-11-10T08:58:00Z</cp:lastPrinted>
  <dcterms:modified xsi:type="dcterms:W3CDTF">2022-12-05T09:27:34Z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D9785EFDC8D749389F2D6F0F8319F2C9</vt:lpwstr>
  </property>
</Properties>
</file>