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EF" w:rsidRPr="009474EF" w:rsidRDefault="009474EF" w:rsidP="009474EF">
      <w:pPr>
        <w:autoSpaceDE w:val="0"/>
        <w:snapToGrid w:val="0"/>
        <w:spacing w:line="240" w:lineRule="atLeast"/>
        <w:rPr>
          <w:rFonts w:ascii="黑体" w:eastAsia="黑体" w:hAnsi="黑体" w:cs="Times New Roman"/>
          <w:spacing w:val="-6"/>
          <w:sz w:val="32"/>
          <w:szCs w:val="32"/>
        </w:rPr>
      </w:pPr>
      <w:r w:rsidRPr="009474EF">
        <w:rPr>
          <w:rFonts w:ascii="黑体" w:eastAsia="黑体" w:hAnsi="黑体" w:cs="Times New Roman" w:hint="eastAsia"/>
          <w:spacing w:val="-6"/>
          <w:sz w:val="32"/>
          <w:szCs w:val="32"/>
        </w:rPr>
        <w:t>附件</w:t>
      </w:r>
    </w:p>
    <w:p w:rsidR="009474EF" w:rsidRPr="009474EF" w:rsidRDefault="009474EF" w:rsidP="009474EF">
      <w:pPr>
        <w:autoSpaceDE w:val="0"/>
        <w:snapToGrid w:val="0"/>
        <w:spacing w:line="240" w:lineRule="atLeast"/>
        <w:jc w:val="center"/>
        <w:rPr>
          <w:rFonts w:ascii="方正书宋_GBK" w:eastAsia="方正书宋_GBK" w:hAnsi="Times New Roman" w:cs="Times New Roman" w:hint="eastAsia"/>
          <w:spacing w:val="-6"/>
          <w:sz w:val="44"/>
          <w:szCs w:val="44"/>
        </w:rPr>
      </w:pPr>
      <w:r w:rsidRPr="009474EF">
        <w:rPr>
          <w:rFonts w:ascii="方正书宋_GBK" w:eastAsia="方正书宋_GBK" w:hAnsi="Times New Roman" w:cs="Times New Roman" w:hint="eastAsia"/>
          <w:spacing w:val="-6"/>
          <w:sz w:val="44"/>
          <w:szCs w:val="44"/>
        </w:rPr>
        <w:t>杭州市全域“无废城市”建设项目清单</w:t>
      </w:r>
    </w:p>
    <w:tbl>
      <w:tblPr>
        <w:tblW w:w="12756" w:type="dxa"/>
        <w:jc w:val="center"/>
        <w:tblLayout w:type="fixed"/>
        <w:tblLook w:val="04A0"/>
      </w:tblPr>
      <w:tblGrid>
        <w:gridCol w:w="793"/>
        <w:gridCol w:w="6855"/>
        <w:gridCol w:w="4057"/>
        <w:gridCol w:w="1051"/>
      </w:tblGrid>
      <w:tr w:rsidR="009474EF" w:rsidRPr="009474EF" w:rsidTr="009474EF">
        <w:trPr>
          <w:trHeight w:val="20"/>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0" w:lineRule="atLeast"/>
              <w:ind w:left="28" w:right="28"/>
              <w:jc w:val="center"/>
              <w:rPr>
                <w:rFonts w:ascii="Times New Roman" w:eastAsia="黑体" w:hAnsi="Times New Roman" w:cs="Times New Roman"/>
                <w:spacing w:val="-6"/>
                <w:kern w:val="0"/>
                <w:sz w:val="24"/>
                <w:szCs w:val="24"/>
              </w:rPr>
            </w:pPr>
            <w:r w:rsidRPr="009474EF">
              <w:rPr>
                <w:rFonts w:ascii="Times New Roman" w:eastAsia="黑体" w:hAnsi="Times New Roman" w:cs="Times New Roman"/>
                <w:spacing w:val="-6"/>
                <w:kern w:val="0"/>
                <w:sz w:val="24"/>
                <w:szCs w:val="24"/>
              </w:rPr>
              <w:t>序号</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0" w:lineRule="atLeast"/>
              <w:ind w:left="28" w:right="28"/>
              <w:jc w:val="center"/>
              <w:rPr>
                <w:rFonts w:ascii="Times New Roman" w:eastAsia="黑体" w:hAnsi="Times New Roman" w:cs="Times New Roman"/>
                <w:spacing w:val="-6"/>
                <w:kern w:val="0"/>
                <w:sz w:val="24"/>
                <w:szCs w:val="24"/>
              </w:rPr>
            </w:pPr>
            <w:r w:rsidRPr="009474EF">
              <w:rPr>
                <w:rFonts w:ascii="Times New Roman" w:eastAsia="黑体" w:hAnsi="Times New Roman" w:cs="Times New Roman"/>
                <w:spacing w:val="-6"/>
                <w:kern w:val="0"/>
                <w:sz w:val="24"/>
                <w:szCs w:val="24"/>
              </w:rPr>
              <w:t>项目名称</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0" w:lineRule="atLeast"/>
              <w:ind w:left="28" w:right="28"/>
              <w:jc w:val="center"/>
              <w:rPr>
                <w:rFonts w:ascii="Times New Roman" w:eastAsia="黑体" w:hAnsi="Times New Roman" w:cs="Times New Roman"/>
                <w:spacing w:val="-6"/>
                <w:kern w:val="0"/>
                <w:sz w:val="24"/>
                <w:szCs w:val="24"/>
              </w:rPr>
            </w:pPr>
            <w:r w:rsidRPr="009474EF">
              <w:rPr>
                <w:rFonts w:ascii="Times New Roman" w:eastAsia="黑体" w:hAnsi="Times New Roman" w:cs="Times New Roman"/>
                <w:spacing w:val="-6"/>
                <w:kern w:val="0"/>
                <w:sz w:val="24"/>
                <w:szCs w:val="24"/>
              </w:rPr>
              <w:t>项目规模</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Times New Roman" w:eastAsia="黑体" w:hAnsi="Times New Roman" w:cs="Times New Roman"/>
                <w:spacing w:val="-6"/>
                <w:kern w:val="0"/>
                <w:sz w:val="24"/>
                <w:szCs w:val="24"/>
              </w:rPr>
            </w:pPr>
            <w:r w:rsidRPr="009474EF">
              <w:rPr>
                <w:rFonts w:ascii="Times New Roman" w:eastAsia="黑体" w:hAnsi="Times New Roman" w:cs="Times New Roman"/>
                <w:spacing w:val="-6"/>
                <w:kern w:val="0"/>
                <w:sz w:val="24"/>
                <w:szCs w:val="24"/>
              </w:rPr>
              <w:t>完成</w:t>
            </w:r>
          </w:p>
          <w:p w:rsidR="009474EF" w:rsidRPr="009474EF" w:rsidRDefault="009474EF" w:rsidP="009474EF">
            <w:pPr>
              <w:widowControl/>
              <w:autoSpaceDE w:val="0"/>
              <w:snapToGrid w:val="0"/>
              <w:spacing w:line="20" w:lineRule="atLeast"/>
              <w:ind w:left="28" w:right="28"/>
              <w:jc w:val="center"/>
              <w:rPr>
                <w:rFonts w:ascii="Times New Roman" w:eastAsia="黑体" w:hAnsi="Times New Roman" w:cs="Times New Roman"/>
                <w:spacing w:val="-6"/>
                <w:kern w:val="0"/>
                <w:sz w:val="24"/>
                <w:szCs w:val="24"/>
              </w:rPr>
            </w:pPr>
            <w:r w:rsidRPr="009474EF">
              <w:rPr>
                <w:rFonts w:ascii="Times New Roman" w:eastAsia="黑体" w:hAnsi="Times New Roman" w:cs="Times New Roman"/>
                <w:spacing w:val="-6"/>
                <w:kern w:val="0"/>
                <w:sz w:val="24"/>
                <w:szCs w:val="24"/>
              </w:rPr>
              <w:t>年限</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钱塘新区污泥固废处置项目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1650吨/天</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2021年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临安一般工业固废焚烧项目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500吨/天</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2021年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3</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桐庐石材废泥掺和建筑垃圾资源化利用项目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石材污泥10万吨/年、建筑垃圾50万吨/年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2020年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4</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桐庐一般固体废物处置项目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10万吨/年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2021年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5</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建德水泥窑协同处置固体废物项目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15万吨/年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2020年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6</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杭州市第三固体废物处置中心项目（危废）</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9万吨/年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2020年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7</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杭州市第三固体废物处置中心项目（医废）</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4万吨/年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2020年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8</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浙江环益资源利用有限公司扩建项目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增加经营类别，不涉及规模变化</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9</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杭州富阳鸿源公司迁扩建项目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10</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浙江奔乐生物科技股份有限公司危险废物资源化技改项目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9万吨/年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11</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建德市新化综合服务有限公司废酸废碱废有机溶剂资源化综合利用迁建项目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7.97万吨/年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12</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建德水泥窑协同处置飞灰项目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6万吨/年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13</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杭州广泰环保技术有限公司废有机溶剂综合利用项目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2.5万吨/年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r w:rsidR="009474EF" w:rsidRPr="009474EF" w:rsidTr="009474EF">
        <w:trPr>
          <w:trHeight w:val="90"/>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90" w:lineRule="atLeast"/>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14</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90" w:lineRule="atLeast"/>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杭州国谱环境技术有限公司垃圾焚烧飞灰预处理项目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90" w:lineRule="atLeast"/>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3万吨/年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90" w:lineRule="atLeast"/>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2020年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15</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杭州大地海洋环保股份有限公司综合利用迁建项目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9.9万吨/年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16</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桐庐水泥窑协同处置危险废物项目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3万吨/年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17</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浙江新化化工股份有限公司新型煤气化综合利用技术改造项目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4万吨/年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lastRenderedPageBreak/>
              <w:t>18</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杭州星宇炭素环保科技有限公司再生循环利用废活性炭项目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1万吨/年</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19</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3个刚性填埋场建设项目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45.5万方</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2021年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全市8个建筑垃圾（装修垃圾）资源化利用设施项目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21</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杭州临江环境能源工程项目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5200吨/天</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2020年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22</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富阳区循环经济产业园生活垃圾焚烧处置一期项目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1500吨/天</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2021年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23</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建德生活垃圾焚烧项目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500吨/天</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2020年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24</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天子岭厨余二期项目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200吨/天</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2020年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25</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临江循环工业园区餐厨项目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700吨/天</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2021年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26</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萧山卓尚餐厨二期易腐垃圾处理项目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200吨/天</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2021年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27</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富阳易腐垃圾处理项目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300吨/天</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2021年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28</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余杭餐厨（厨余）项目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400吨/天</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29</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淳安餐厨项目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50吨/天</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2021年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30</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建德市易腐垃圾处置项目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120吨/天</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2021年</w:t>
            </w:r>
          </w:p>
        </w:tc>
      </w:tr>
      <w:tr w:rsidR="009474EF" w:rsidRPr="009474EF" w:rsidTr="009474EF">
        <w:trPr>
          <w:trHeight w:val="39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31</w:t>
            </w:r>
          </w:p>
        </w:tc>
        <w:tc>
          <w:tcPr>
            <w:tcW w:w="6855"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autoSpaceDE w:val="0"/>
              <w:snapToGrid w:val="0"/>
              <w:spacing w:line="264" w:lineRule="auto"/>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临江废旧汽车拆解、废旧物资资源化处理中心项目</w:t>
            </w:r>
          </w:p>
        </w:tc>
        <w:tc>
          <w:tcPr>
            <w:tcW w:w="4057"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w:t>
            </w:r>
          </w:p>
        </w:tc>
        <w:tc>
          <w:tcPr>
            <w:tcW w:w="1051" w:type="dxa"/>
            <w:tcBorders>
              <w:top w:val="single" w:sz="4" w:space="0" w:color="auto"/>
              <w:left w:val="nil"/>
              <w:bottom w:val="single" w:sz="4" w:space="0" w:color="auto"/>
              <w:right w:val="single" w:sz="4" w:space="0" w:color="auto"/>
            </w:tcBorders>
            <w:vAlign w:val="center"/>
            <w:hideMark/>
          </w:tcPr>
          <w:p w:rsidR="009474EF" w:rsidRPr="009474EF" w:rsidRDefault="009474EF" w:rsidP="009474EF">
            <w:pPr>
              <w:widowControl/>
              <w:autoSpaceDE w:val="0"/>
              <w:snapToGrid w:val="0"/>
              <w:spacing w:line="264" w:lineRule="auto"/>
              <w:ind w:left="28" w:right="28"/>
              <w:jc w:val="center"/>
              <w:rPr>
                <w:rFonts w:ascii="仿宋_GB2312" w:eastAsia="仿宋_GB2312" w:hAnsi="Times New Roman" w:cs="Times New Roman"/>
                <w:spacing w:val="-6"/>
                <w:kern w:val="0"/>
                <w:szCs w:val="21"/>
              </w:rPr>
            </w:pPr>
            <w:r w:rsidRPr="009474EF">
              <w:rPr>
                <w:rFonts w:ascii="仿宋_GB2312" w:eastAsia="仿宋_GB2312" w:hAnsi="Times New Roman" w:cs="Times New Roman" w:hint="eastAsia"/>
                <w:spacing w:val="-6"/>
                <w:kern w:val="0"/>
                <w:szCs w:val="21"/>
              </w:rPr>
              <w:t>2022年</w:t>
            </w:r>
          </w:p>
        </w:tc>
      </w:tr>
    </w:tbl>
    <w:p w:rsidR="009474EF" w:rsidRPr="009474EF" w:rsidRDefault="009474EF" w:rsidP="009474EF">
      <w:pPr>
        <w:autoSpaceDE w:val="0"/>
        <w:spacing w:line="240" w:lineRule="atLeast"/>
        <w:rPr>
          <w:rFonts w:ascii="Calibri" w:eastAsia="宋体" w:hAnsi="Calibri" w:cs="Calibri"/>
          <w:spacing w:val="-6"/>
          <w:szCs w:val="21"/>
        </w:rPr>
        <w:sectPr w:rsidR="009474EF" w:rsidRPr="009474EF" w:rsidSect="009474EF">
          <w:pgSz w:w="15840" w:h="12240" w:orient="landscape"/>
          <w:pgMar w:top="1800" w:right="1440" w:bottom="1800" w:left="1440" w:header="720" w:footer="720" w:gutter="0"/>
          <w:cols w:space="720"/>
          <w:docGrid w:linePitch="286"/>
        </w:sectPr>
      </w:pPr>
    </w:p>
    <w:p w:rsidR="00D56697" w:rsidRDefault="00D56697"/>
    <w:sectPr w:rsidR="00D56697" w:rsidSect="009474E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697" w:rsidRDefault="00D56697" w:rsidP="009474EF">
      <w:r>
        <w:separator/>
      </w:r>
    </w:p>
  </w:endnote>
  <w:endnote w:type="continuationSeparator" w:id="1">
    <w:p w:rsidR="00D56697" w:rsidRDefault="00D56697" w:rsidP="009474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697" w:rsidRDefault="00D56697" w:rsidP="009474EF">
      <w:r>
        <w:separator/>
      </w:r>
    </w:p>
  </w:footnote>
  <w:footnote w:type="continuationSeparator" w:id="1">
    <w:p w:rsidR="00D56697" w:rsidRDefault="00D56697" w:rsidP="009474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4EF"/>
    <w:rsid w:val="009474EF"/>
    <w:rsid w:val="00D56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4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74EF"/>
    <w:rPr>
      <w:sz w:val="18"/>
      <w:szCs w:val="18"/>
    </w:rPr>
  </w:style>
  <w:style w:type="paragraph" w:styleId="a4">
    <w:name w:val="footer"/>
    <w:basedOn w:val="a"/>
    <w:link w:val="Char0"/>
    <w:uiPriority w:val="99"/>
    <w:semiHidden/>
    <w:unhideWhenUsed/>
    <w:rsid w:val="009474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4EF"/>
    <w:rPr>
      <w:sz w:val="18"/>
      <w:szCs w:val="18"/>
    </w:rPr>
  </w:style>
</w:styles>
</file>

<file path=word/webSettings.xml><?xml version="1.0" encoding="utf-8"?>
<w:webSettings xmlns:r="http://schemas.openxmlformats.org/officeDocument/2006/relationships" xmlns:w="http://schemas.openxmlformats.org/wordprocessingml/2006/main">
  <w:divs>
    <w:div w:id="10027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Office Word</Application>
  <DocSecurity>0</DocSecurity>
  <Lines>7</Lines>
  <Paragraphs>2</Paragraphs>
  <ScaleCrop>false</ScaleCrop>
  <Company>P R C</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2020-08-13T01:36:00Z</dcterms:created>
  <dcterms:modified xsi:type="dcterms:W3CDTF">2020-08-13T01:38:00Z</dcterms:modified>
</cp:coreProperties>
</file>