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B3" w:rsidRDefault="00EC2EB3" w:rsidP="00EC2EB3">
      <w:pPr>
        <w:widowControl/>
        <w:jc w:val="center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/>
          <w:color w:val="000000"/>
          <w:kern w:val="0"/>
          <w:sz w:val="32"/>
          <w:szCs w:val="32"/>
        </w:rPr>
        <w:t>附件</w:t>
      </w:r>
      <w:r>
        <w:rPr>
          <w:rFonts w:ascii="Times New Roman" w:eastAsia="方正黑体_GBK" w:hAnsi="Times New Roman"/>
          <w:color w:val="000000"/>
          <w:kern w:val="0"/>
          <w:sz w:val="32"/>
          <w:szCs w:val="32"/>
        </w:rPr>
        <w:t>1</w:t>
      </w:r>
    </w:p>
    <w:p w:rsidR="00EC2EB3" w:rsidRDefault="00EC2EB3" w:rsidP="00EC2EB3">
      <w:pPr>
        <w:widowControl/>
        <w:spacing w:beforeLines="100" w:before="312" w:line="56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杭州市婴幼儿照护服务机构质量评估标准</w:t>
      </w:r>
    </w:p>
    <w:p w:rsidR="00EC2EB3" w:rsidRDefault="00EC2EB3" w:rsidP="00EC2EB3">
      <w:pPr>
        <w:widowControl/>
        <w:spacing w:line="560" w:lineRule="exact"/>
        <w:jc w:val="center"/>
        <w:rPr>
          <w:rFonts w:ascii="楷体_GB2312" w:eastAsia="楷体_GB2312" w:hAnsi="Times New Roman"/>
          <w:color w:val="000000"/>
          <w:kern w:val="0"/>
          <w:sz w:val="32"/>
          <w:szCs w:val="32"/>
        </w:rPr>
      </w:pPr>
      <w:r>
        <w:rPr>
          <w:rFonts w:ascii="楷体_GB2312" w:eastAsia="楷体_GB2312" w:hAnsi="Times New Roman" w:hint="eastAsia"/>
          <w:color w:val="000000"/>
          <w:kern w:val="0"/>
          <w:sz w:val="32"/>
          <w:szCs w:val="32"/>
        </w:rPr>
        <w:t>（试行）</w:t>
      </w:r>
      <w:bookmarkEnd w:id="0"/>
    </w:p>
    <w:tbl>
      <w:tblPr>
        <w:tblpPr w:leftFromText="180" w:rightFromText="180" w:vertAnchor="text" w:horzAnchor="page" w:tblpXSpec="center" w:tblpY="5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567"/>
        <w:gridCol w:w="6135"/>
        <w:gridCol w:w="567"/>
        <w:gridCol w:w="567"/>
        <w:gridCol w:w="497"/>
        <w:gridCol w:w="739"/>
      </w:tblGrid>
      <w:tr w:rsidR="00EC2EB3" w:rsidTr="008F7767">
        <w:trPr>
          <w:cantSplit/>
          <w:trHeight w:val="382"/>
        </w:trPr>
        <w:tc>
          <w:tcPr>
            <w:tcW w:w="52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项目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内容</w:t>
            </w:r>
          </w:p>
        </w:tc>
        <w:tc>
          <w:tcPr>
            <w:tcW w:w="6135" w:type="dxa"/>
            <w:vMerge w:val="restart"/>
            <w:tcBorders>
              <w:top w:val="single" w:sz="8" w:space="0" w:color="auto"/>
            </w:tcBorders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评</w:t>
            </w:r>
            <w:r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分</w:t>
            </w:r>
            <w:r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细</w:t>
            </w:r>
            <w:r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则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分值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</w:tcBorders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结果</w:t>
            </w:r>
          </w:p>
        </w:tc>
        <w:tc>
          <w:tcPr>
            <w:tcW w:w="739" w:type="dxa"/>
            <w:vMerge w:val="restart"/>
            <w:tcBorders>
              <w:top w:val="single" w:sz="8" w:space="0" w:color="auto"/>
            </w:tcBorders>
            <w:vAlign w:val="center"/>
          </w:tcPr>
          <w:p w:rsidR="00EC2EB3" w:rsidRDefault="00EC2EB3" w:rsidP="008F7767">
            <w:pPr>
              <w:spacing w:line="5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备注</w:t>
            </w:r>
          </w:p>
        </w:tc>
      </w:tr>
      <w:tr w:rsidR="00EC2EB3" w:rsidTr="008F7767">
        <w:trPr>
          <w:cantSplit/>
          <w:trHeight w:val="441"/>
        </w:trPr>
        <w:tc>
          <w:tcPr>
            <w:tcW w:w="522" w:type="dxa"/>
            <w:vMerge/>
            <w:tcBorders>
              <w:left w:val="single" w:sz="8" w:space="0" w:color="auto"/>
            </w:tcBorders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6135" w:type="dxa"/>
            <w:vMerge/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自评</w:t>
            </w:r>
          </w:p>
        </w:tc>
        <w:tc>
          <w:tcPr>
            <w:tcW w:w="497" w:type="dxa"/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考评</w:t>
            </w:r>
          </w:p>
        </w:tc>
        <w:tc>
          <w:tcPr>
            <w:tcW w:w="739" w:type="dxa"/>
            <w:vMerge/>
            <w:vAlign w:val="center"/>
          </w:tcPr>
          <w:p w:rsidR="00EC2EB3" w:rsidRDefault="00EC2EB3" w:rsidP="008F7767">
            <w:pPr>
              <w:spacing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EC2EB3" w:rsidTr="008F7767">
        <w:trPr>
          <w:cantSplit/>
          <w:trHeight w:val="1960"/>
        </w:trPr>
        <w:tc>
          <w:tcPr>
            <w:tcW w:w="522" w:type="dxa"/>
            <w:vMerge w:val="restart"/>
            <w:tcBorders>
              <w:left w:val="single" w:sz="8" w:space="0" w:color="auto"/>
            </w:tcBorders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一、</w:t>
            </w:r>
          </w:p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举办</w:t>
            </w:r>
          </w:p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条件</w:t>
            </w:r>
          </w:p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:rsidR="00EC2EB3" w:rsidRDefault="00EC2EB3" w:rsidP="008F7767">
            <w:pPr>
              <w:spacing w:line="320" w:lineRule="exact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/>
                <w:b/>
                <w:sz w:val="24"/>
                <w:szCs w:val="24"/>
              </w:rPr>
              <w:t>1.</w:t>
            </w:r>
          </w:p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sz w:val="24"/>
                <w:szCs w:val="24"/>
              </w:rPr>
              <w:t>场地设置</w:t>
            </w:r>
          </w:p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bottom w:val="single" w:sz="8" w:space="0" w:color="auto"/>
            </w:tcBorders>
            <w:vAlign w:val="center"/>
          </w:tcPr>
          <w:p w:rsidR="00EC2EB3" w:rsidRDefault="00EC2EB3" w:rsidP="008F7767">
            <w:pPr>
              <w:spacing w:line="3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自有场地或租赁期不少于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年的租赁场地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；设置在自然条件良好、交通便利、符合卫生和环保要求的宜建地带，避开加油站、输油输气管道和高压供电走廊等，远离垃圾及污水处理站等存在污染源的场所，远离城市交通主干道或高速公路等，不与大型娱乐场所、商场、批发市场等人流密集场所毗邻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0.5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分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；符合国家相关抗震、消防标准、电气安全的规定（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0.5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分）；生活用房布置在首层，当布置在首层有困难时，可将托大班布置在二层，其人数不超过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人（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分）。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C2EB3" w:rsidTr="008F7767">
        <w:trPr>
          <w:cantSplit/>
          <w:trHeight w:val="595"/>
        </w:trPr>
        <w:tc>
          <w:tcPr>
            <w:tcW w:w="522" w:type="dxa"/>
            <w:vMerge/>
            <w:tcBorders>
              <w:left w:val="single" w:sz="8" w:space="0" w:color="auto"/>
            </w:tcBorders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EC2EB3" w:rsidRDefault="00EC2EB3" w:rsidP="008F7767">
            <w:pPr>
              <w:spacing w:line="26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</w:p>
        </w:tc>
        <w:tc>
          <w:tcPr>
            <w:tcW w:w="6135" w:type="dxa"/>
            <w:tcBorders>
              <w:bottom w:val="single" w:sz="8" w:space="0" w:color="auto"/>
            </w:tcBorders>
          </w:tcPr>
          <w:p w:rsidR="00EC2EB3" w:rsidRDefault="00EC2EB3" w:rsidP="008F7767">
            <w:pPr>
              <w:spacing w:line="3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婴幼儿人均建筑面积不低于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㎡（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分），不低于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㎡（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分），不低于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㎡（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分）；室内最小净高睡眠区、活动区不应小于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2.6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米（各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0.5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分）。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C2EB3" w:rsidTr="008F7767">
        <w:trPr>
          <w:cantSplit/>
          <w:trHeight w:val="643"/>
        </w:trPr>
        <w:tc>
          <w:tcPr>
            <w:tcW w:w="522" w:type="dxa"/>
            <w:vMerge/>
            <w:tcBorders>
              <w:left w:val="single" w:sz="8" w:space="0" w:color="auto"/>
            </w:tcBorders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EC2EB3" w:rsidRDefault="00EC2EB3" w:rsidP="008F7767">
            <w:pPr>
              <w:spacing w:line="26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</w:p>
        </w:tc>
        <w:tc>
          <w:tcPr>
            <w:tcW w:w="6135" w:type="dxa"/>
            <w:tcBorders>
              <w:bottom w:val="single" w:sz="8" w:space="0" w:color="auto"/>
            </w:tcBorders>
          </w:tcPr>
          <w:p w:rsidR="00EC2EB3" w:rsidRDefault="00EC2EB3" w:rsidP="008F7767">
            <w:pPr>
              <w:spacing w:line="3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有专用户外活动场地（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分）；婴幼儿人均面积不少于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0.5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分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不少于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㎡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分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；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户外活动场地为合用场地并签订协议（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0.5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分），婴幼儿人均面积不少于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㎡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0.5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分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。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C2EB3" w:rsidTr="008F7767">
        <w:trPr>
          <w:cantSplit/>
          <w:trHeight w:val="794"/>
        </w:trPr>
        <w:tc>
          <w:tcPr>
            <w:tcW w:w="522" w:type="dxa"/>
            <w:vMerge/>
            <w:tcBorders>
              <w:left w:val="single" w:sz="8" w:space="0" w:color="auto"/>
            </w:tcBorders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EC2EB3" w:rsidRDefault="00EC2EB3" w:rsidP="008F7767">
            <w:pPr>
              <w:spacing w:line="26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</w:p>
        </w:tc>
        <w:tc>
          <w:tcPr>
            <w:tcW w:w="6135" w:type="dxa"/>
            <w:tcBorders>
              <w:bottom w:val="single" w:sz="8" w:space="0" w:color="auto"/>
            </w:tcBorders>
          </w:tcPr>
          <w:p w:rsidR="00EC2EB3" w:rsidRDefault="00EC2EB3" w:rsidP="008F7767">
            <w:pPr>
              <w:spacing w:line="34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4.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活动室、寝室及具有相同功能的区域，布置在当地最好朝向（朝北或无法实现开窗通风的，此项不得分），冬至日底层满窗日照不应小于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3h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分）；每班活动区和午睡区独立设置，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不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与其他班混用（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分）。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分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C2EB3" w:rsidTr="008F7767">
        <w:trPr>
          <w:cantSplit/>
          <w:trHeight w:val="90"/>
        </w:trPr>
        <w:tc>
          <w:tcPr>
            <w:tcW w:w="522" w:type="dxa"/>
            <w:vMerge/>
            <w:tcBorders>
              <w:left w:val="single" w:sz="8" w:space="0" w:color="auto"/>
            </w:tcBorders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EC2EB3" w:rsidRDefault="00EC2EB3" w:rsidP="008F7767">
            <w:pPr>
              <w:spacing w:line="26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</w:p>
        </w:tc>
        <w:tc>
          <w:tcPr>
            <w:tcW w:w="6135" w:type="dxa"/>
            <w:tcBorders>
              <w:bottom w:val="single" w:sz="8" w:space="0" w:color="auto"/>
            </w:tcBorders>
          </w:tcPr>
          <w:p w:rsidR="00EC2EB3" w:rsidRDefault="00EC2EB3" w:rsidP="008F7767">
            <w:pPr>
              <w:spacing w:line="34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5.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设有保健室（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0.5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分），保健室单独使用的（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0.5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分）；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备案班型设有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乳儿班、托小班和混合班的，应设置母婴室（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分）。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分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C2EB3" w:rsidTr="008F7767">
        <w:trPr>
          <w:cantSplit/>
          <w:trHeight w:val="681"/>
        </w:trPr>
        <w:tc>
          <w:tcPr>
            <w:tcW w:w="522" w:type="dxa"/>
            <w:vMerge/>
            <w:tcBorders>
              <w:left w:val="single" w:sz="8" w:space="0" w:color="auto"/>
            </w:tcBorders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EC2EB3" w:rsidRDefault="00EC2EB3" w:rsidP="008F7767">
            <w:pPr>
              <w:spacing w:line="26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</w:p>
        </w:tc>
        <w:tc>
          <w:tcPr>
            <w:tcW w:w="6135" w:type="dxa"/>
            <w:tcBorders>
              <w:bottom w:val="single" w:sz="8" w:space="0" w:color="auto"/>
            </w:tcBorders>
          </w:tcPr>
          <w:p w:rsidR="00EC2EB3" w:rsidRDefault="00EC2EB3" w:rsidP="008F7767">
            <w:pPr>
              <w:spacing w:line="340" w:lineRule="exact"/>
              <w:rPr>
                <w:rFonts w:ascii="Times New Roman" w:eastAsia="微软雅黑" w:hAnsi="Times New Roman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6.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有独立设置，符合卫生要求的厨房并取得食品经营许可证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；持有《食品经营许可证》（主体业态包含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集体用餐配送单位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单位食堂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）提供配送餐服务的（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分）。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分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left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</w:tr>
      <w:tr w:rsidR="00EC2EB3" w:rsidTr="008F7767">
        <w:trPr>
          <w:cantSplit/>
          <w:trHeight w:val="70"/>
        </w:trPr>
        <w:tc>
          <w:tcPr>
            <w:tcW w:w="522" w:type="dxa"/>
            <w:vMerge/>
            <w:tcBorders>
              <w:left w:val="single" w:sz="8" w:space="0" w:color="auto"/>
            </w:tcBorders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sz w:val="24"/>
                <w:szCs w:val="24"/>
              </w:rPr>
              <w:t>2.</w:t>
            </w:r>
          </w:p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sz w:val="24"/>
                <w:szCs w:val="24"/>
              </w:rPr>
              <w:t>设施设备</w:t>
            </w:r>
          </w:p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6135" w:type="dxa"/>
            <w:vAlign w:val="center"/>
          </w:tcPr>
          <w:p w:rsidR="00EC2EB3" w:rsidRDefault="00EC2EB3" w:rsidP="008F7767">
            <w:pPr>
              <w:spacing w:line="34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7.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活动室内婴幼儿生活和学习必需的各种设备和用品较为齐全、适用，有适合婴幼儿身高的桌椅、玩具柜、饮水设备、茶杯箱等家具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；提供数量充足的、安全的、能满足多种感知需要的玩具材料，提供给婴幼儿的玩具应当符合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GB6675“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《玩具安全》系列国家标准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left"/>
              <w:rPr>
                <w:rFonts w:ascii="Times New Roman" w:eastAsia="微软雅黑" w:hAnsi="Times New Roman"/>
                <w:sz w:val="20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产品生产标准合格证、说明书备查</w:t>
            </w:r>
          </w:p>
        </w:tc>
      </w:tr>
      <w:tr w:rsidR="00EC2EB3" w:rsidTr="008F7767">
        <w:trPr>
          <w:cantSplit/>
          <w:trHeight w:val="70"/>
        </w:trPr>
        <w:tc>
          <w:tcPr>
            <w:tcW w:w="522" w:type="dxa"/>
            <w:vMerge/>
            <w:tcBorders>
              <w:left w:val="single" w:sz="8" w:space="0" w:color="auto"/>
            </w:tcBorders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C2EB3" w:rsidRDefault="00EC2EB3" w:rsidP="008F7767">
            <w:pPr>
              <w:spacing w:line="26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6135" w:type="dxa"/>
            <w:vAlign w:val="center"/>
          </w:tcPr>
          <w:p w:rsidR="00EC2EB3" w:rsidRDefault="00EC2EB3" w:rsidP="008F7767">
            <w:pPr>
              <w:spacing w:line="34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8.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机构大门、建筑物出入口、楼梯间、走廊、厨房等应设置视频安防监控系统，应设有监控视频观察区，对机构内所有场所（成人洗手间和更衣间除外）进行无死角监控（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分）；监控录像资料保存期不少于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90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分）。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仿宋_GB2312" w:hAnsi="Times New Roman"/>
                <w:sz w:val="20"/>
                <w:szCs w:val="24"/>
              </w:rPr>
            </w:pPr>
          </w:p>
        </w:tc>
      </w:tr>
      <w:tr w:rsidR="00EC2EB3" w:rsidTr="008F7767">
        <w:trPr>
          <w:cantSplit/>
          <w:trHeight w:val="1857"/>
        </w:trPr>
        <w:tc>
          <w:tcPr>
            <w:tcW w:w="522" w:type="dxa"/>
            <w:vMerge/>
            <w:tcBorders>
              <w:left w:val="single" w:sz="8" w:space="0" w:color="auto"/>
            </w:tcBorders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C2EB3" w:rsidRDefault="00EC2EB3" w:rsidP="008F7767">
            <w:pPr>
              <w:spacing w:line="26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6135" w:type="dxa"/>
          </w:tcPr>
          <w:p w:rsidR="00EC2EB3" w:rsidRDefault="00EC2EB3" w:rsidP="008F7767">
            <w:pPr>
              <w:spacing w:line="34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9.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机构防护栏应符合下列规定：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①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外廊、室内回廊、内天井、阳台、上人屋面、平台、看台及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室外楼梯等临空处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应设置防护栏杆，栏杆应以坚固、耐久的材料制作（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分）；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②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防护栏杆的高度应从可踏部位顶面起算，且净高不应小于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1.30m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分）；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③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防护栏杆必须采用防止幼儿攀登和穿过的构造，当采用垂直杆件做栏杆时，其杆件净距离不应大于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0.09m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分）。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仿宋_GB2312" w:hAnsi="Times New Roman"/>
                <w:sz w:val="20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仿宋_GB2312" w:hAnsi="Times New Roman"/>
                <w:sz w:val="20"/>
                <w:szCs w:val="24"/>
              </w:rPr>
            </w:pPr>
          </w:p>
        </w:tc>
      </w:tr>
      <w:tr w:rsidR="00EC2EB3" w:rsidTr="008F7767">
        <w:trPr>
          <w:cantSplit/>
          <w:trHeight w:val="70"/>
        </w:trPr>
        <w:tc>
          <w:tcPr>
            <w:tcW w:w="522" w:type="dxa"/>
            <w:vMerge/>
            <w:tcBorders>
              <w:left w:val="single" w:sz="8" w:space="0" w:color="auto"/>
            </w:tcBorders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C2EB3" w:rsidRDefault="00EC2EB3" w:rsidP="008F7767">
            <w:pPr>
              <w:spacing w:line="26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6135" w:type="dxa"/>
            <w:vAlign w:val="center"/>
          </w:tcPr>
          <w:p w:rsidR="00EC2EB3" w:rsidRDefault="00EC2EB3" w:rsidP="008F7767">
            <w:pPr>
              <w:spacing w:line="34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10.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幼儿使用的楼梯，当楼梯井净宽度大于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0.11m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时，必须采取防止幼儿攀滑措施（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分）；楼梯栏杆应采取不易攀爬的构造，当采用垂直杆件做栏杆时，其杆件净距不应大于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0.09m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分）。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仿宋_GB2312" w:hAnsi="Times New Roman"/>
                <w:sz w:val="20"/>
                <w:szCs w:val="24"/>
              </w:rPr>
            </w:pPr>
          </w:p>
        </w:tc>
      </w:tr>
      <w:tr w:rsidR="00EC2EB3" w:rsidTr="008F7767">
        <w:trPr>
          <w:cantSplit/>
          <w:trHeight w:val="70"/>
        </w:trPr>
        <w:tc>
          <w:tcPr>
            <w:tcW w:w="522" w:type="dxa"/>
            <w:vMerge/>
            <w:tcBorders>
              <w:left w:val="single" w:sz="8" w:space="0" w:color="auto"/>
            </w:tcBorders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C2EB3" w:rsidRDefault="00EC2EB3" w:rsidP="008F7767">
            <w:pPr>
              <w:spacing w:line="26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6135" w:type="dxa"/>
            <w:vAlign w:val="center"/>
          </w:tcPr>
          <w:p w:rsidR="00EC2EB3" w:rsidRDefault="00EC2EB3" w:rsidP="008F7767">
            <w:pPr>
              <w:spacing w:line="34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11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有适合幼儿并符合卫生要求的午睡床铺设备，确保一人一床（不得采用上下铺）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0.5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；每班有专用盥洗室（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0.5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分），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按婴幼儿数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5:1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设置水龙头数量，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每班婴幼儿专用坐便器（或蹲位）至少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个，小便器至少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个（或便槽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2.5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米），卫生设施完备，符合幼儿年龄特点（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；有防暑降温和防寒保暖设备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</w:tr>
      <w:tr w:rsidR="00EC2EB3" w:rsidTr="008F7767">
        <w:trPr>
          <w:cantSplit/>
          <w:trHeight w:val="550"/>
        </w:trPr>
        <w:tc>
          <w:tcPr>
            <w:tcW w:w="522" w:type="dxa"/>
            <w:vMerge w:val="restart"/>
            <w:tcBorders>
              <w:left w:val="single" w:sz="8" w:space="0" w:color="auto"/>
            </w:tcBorders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二、</w:t>
            </w:r>
          </w:p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机构管理</w:t>
            </w:r>
          </w:p>
        </w:tc>
        <w:tc>
          <w:tcPr>
            <w:tcW w:w="567" w:type="dxa"/>
            <w:vMerge w:val="restart"/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  <w:r>
              <w:rPr>
                <w:rFonts w:ascii="Times New Roman" w:eastAsia="楷体_GB2312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楷体_GB2312" w:hAnsi="Times New Roman"/>
                <w:b/>
                <w:sz w:val="24"/>
                <w:szCs w:val="24"/>
              </w:rPr>
              <w:t>常规管理</w:t>
            </w:r>
          </w:p>
        </w:tc>
        <w:tc>
          <w:tcPr>
            <w:tcW w:w="6135" w:type="dxa"/>
            <w:vAlign w:val="center"/>
          </w:tcPr>
          <w:p w:rsidR="00EC2EB3" w:rsidRDefault="00EC2EB3" w:rsidP="008F7767">
            <w:pPr>
              <w:spacing w:line="34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12.</w:t>
            </w: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婴幼儿照护服务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导向正确，机构发展有整体规划与具体措施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0.5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；有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年以上的办托历史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0.5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；社会声誉好，社会满意度高，一年内无家长投诉、信访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；营业执照经营范围为托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育服务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专营（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分）。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49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739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</w:tr>
      <w:tr w:rsidR="00EC2EB3" w:rsidTr="008F7767">
        <w:trPr>
          <w:cantSplit/>
          <w:trHeight w:val="550"/>
        </w:trPr>
        <w:tc>
          <w:tcPr>
            <w:tcW w:w="522" w:type="dxa"/>
            <w:vMerge/>
            <w:tcBorders>
              <w:left w:val="single" w:sz="8" w:space="0" w:color="auto"/>
            </w:tcBorders>
            <w:vAlign w:val="center"/>
          </w:tcPr>
          <w:p w:rsidR="00EC2EB3" w:rsidRDefault="00EC2EB3" w:rsidP="008F7767">
            <w:pPr>
              <w:spacing w:line="26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EC2EB3" w:rsidRDefault="00EC2EB3" w:rsidP="008F7767">
            <w:pPr>
              <w:spacing w:line="26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</w:p>
        </w:tc>
        <w:tc>
          <w:tcPr>
            <w:tcW w:w="6135" w:type="dxa"/>
            <w:vAlign w:val="center"/>
          </w:tcPr>
          <w:p w:rsidR="00EC2EB3" w:rsidRDefault="00EC2EB3" w:rsidP="008F7767">
            <w:pPr>
              <w:spacing w:line="34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13.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规模适宜，机构非独立设置不超过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个班（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分）；严格控制班级人数，乳儿班（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6-12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个月，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人以下），托小班（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12-24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个月，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人以下），托大班（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24-36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个月，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人以下，混合班（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18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个月以上，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18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人以下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49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739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</w:tr>
      <w:tr w:rsidR="00EC2EB3" w:rsidTr="008F7767">
        <w:trPr>
          <w:cantSplit/>
          <w:trHeight w:val="1117"/>
        </w:trPr>
        <w:tc>
          <w:tcPr>
            <w:tcW w:w="522" w:type="dxa"/>
            <w:vMerge/>
            <w:tcBorders>
              <w:left w:val="single" w:sz="8" w:space="0" w:color="auto"/>
            </w:tcBorders>
            <w:vAlign w:val="center"/>
          </w:tcPr>
          <w:p w:rsidR="00EC2EB3" w:rsidRDefault="00EC2EB3" w:rsidP="008F7767">
            <w:pPr>
              <w:spacing w:line="26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eastAsia="楷体_GB2312" w:hAnsi="Times New Roman"/>
                <w:b/>
                <w:sz w:val="24"/>
                <w:szCs w:val="24"/>
              </w:rPr>
              <w:t>人员</w:t>
            </w:r>
            <w:r>
              <w:rPr>
                <w:rFonts w:ascii="Times New Roman" w:eastAsia="楷体_GB2312" w:hAnsi="Times New Roman"/>
                <w:b/>
                <w:sz w:val="24"/>
                <w:szCs w:val="24"/>
              </w:rPr>
              <w:lastRenderedPageBreak/>
              <w:t>配备</w:t>
            </w:r>
          </w:p>
        </w:tc>
        <w:tc>
          <w:tcPr>
            <w:tcW w:w="6135" w:type="dxa"/>
            <w:vAlign w:val="center"/>
          </w:tcPr>
          <w:p w:rsidR="00EC2EB3" w:rsidRDefault="00EC2EB3" w:rsidP="008F7767">
            <w:pPr>
              <w:spacing w:line="34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lastRenderedPageBreak/>
              <w:t>14.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工作人员应当具有完全民事行为能力和良好的职业道德，热爱婴幼儿、身心健康，无虐待儿童记录、无犯罪记录，无抑郁症等精神性疾病史。（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分）。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49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739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</w:tr>
      <w:tr w:rsidR="00EC2EB3" w:rsidTr="008F7767">
        <w:trPr>
          <w:cantSplit/>
          <w:trHeight w:val="1117"/>
        </w:trPr>
        <w:tc>
          <w:tcPr>
            <w:tcW w:w="522" w:type="dxa"/>
            <w:vMerge/>
            <w:tcBorders>
              <w:left w:val="single" w:sz="8" w:space="0" w:color="auto"/>
            </w:tcBorders>
            <w:vAlign w:val="center"/>
          </w:tcPr>
          <w:p w:rsidR="00EC2EB3" w:rsidRDefault="00EC2EB3" w:rsidP="008F7767">
            <w:pPr>
              <w:spacing w:line="26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sz w:val="24"/>
                <w:szCs w:val="24"/>
              </w:rPr>
            </w:pPr>
          </w:p>
        </w:tc>
        <w:tc>
          <w:tcPr>
            <w:tcW w:w="6135" w:type="dxa"/>
            <w:vAlign w:val="center"/>
          </w:tcPr>
          <w:p w:rsidR="00EC2EB3" w:rsidRDefault="00EC2EB3" w:rsidP="008F7767">
            <w:pPr>
              <w:spacing w:line="34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15.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机构负责人负责全面工作，应当具备大专以上学历，具有从事儿童保育教育或卫生健康等相关工作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年以上的经历，且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经卫健部门托育机构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负责人岗位培训合格或持有教育部门认可的幼儿园园长证（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分）。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49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739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</w:tr>
      <w:tr w:rsidR="00EC2EB3" w:rsidTr="008F7767">
        <w:trPr>
          <w:cantSplit/>
          <w:trHeight w:val="1117"/>
        </w:trPr>
        <w:tc>
          <w:tcPr>
            <w:tcW w:w="522" w:type="dxa"/>
            <w:vMerge/>
            <w:tcBorders>
              <w:left w:val="single" w:sz="8" w:space="0" w:color="auto"/>
            </w:tcBorders>
            <w:vAlign w:val="center"/>
          </w:tcPr>
          <w:p w:rsidR="00EC2EB3" w:rsidRDefault="00EC2EB3" w:rsidP="008F7767">
            <w:pPr>
              <w:spacing w:line="26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sz w:val="24"/>
                <w:szCs w:val="24"/>
              </w:rPr>
            </w:pPr>
          </w:p>
        </w:tc>
        <w:tc>
          <w:tcPr>
            <w:tcW w:w="6135" w:type="dxa"/>
            <w:vAlign w:val="center"/>
          </w:tcPr>
          <w:p w:rsidR="00EC2EB3" w:rsidRDefault="00EC2EB3" w:rsidP="008F7767">
            <w:pPr>
              <w:spacing w:line="34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16.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合理配备保育人员，年龄要求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55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周岁以下，具备高中及同等以上学历，具有婴幼儿照护经验或相关专业背景，受过相关培训和心理知识培训，持证上岗（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分）；配备数量与婴幼儿数的比例不低于：乳儿班：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1:3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，托小班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1:5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，托大班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1:7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，混合班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1:6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；每班保育人员中达到至少一名具备幼教人员资质的（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分），每班达到两名及以上人员具备幼教人员资质的（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分）。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49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739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</w:tr>
      <w:tr w:rsidR="00EC2EB3" w:rsidTr="008F7767">
        <w:trPr>
          <w:cantSplit/>
          <w:trHeight w:val="1117"/>
        </w:trPr>
        <w:tc>
          <w:tcPr>
            <w:tcW w:w="522" w:type="dxa"/>
            <w:vMerge/>
            <w:tcBorders>
              <w:left w:val="single" w:sz="8" w:space="0" w:color="auto"/>
            </w:tcBorders>
            <w:vAlign w:val="center"/>
          </w:tcPr>
          <w:p w:rsidR="00EC2EB3" w:rsidRDefault="00EC2EB3" w:rsidP="008F7767">
            <w:pPr>
              <w:spacing w:line="26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sz w:val="24"/>
                <w:szCs w:val="24"/>
              </w:rPr>
            </w:pPr>
          </w:p>
        </w:tc>
        <w:tc>
          <w:tcPr>
            <w:tcW w:w="6135" w:type="dxa"/>
            <w:vAlign w:val="center"/>
          </w:tcPr>
          <w:p w:rsidR="00EC2EB3" w:rsidRDefault="00EC2EB3" w:rsidP="008F7767">
            <w:pPr>
              <w:spacing w:line="34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17.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收托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50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人以下的机构，应至少配备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名兼职保健人员，收托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50-100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人的，应至少配备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名专职保健人员，收托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100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人以上的，应至少配备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名专职和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名兼职保健人员（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分）；卫生保健人员具备全日制大专及以上学历，上岗前经当地妇幼保健机构组织的卫生保健专业知识培训合格，持证上岗（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分）。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49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739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</w:tr>
      <w:tr w:rsidR="00EC2EB3" w:rsidTr="008F7767">
        <w:trPr>
          <w:cantSplit/>
          <w:trHeight w:val="1117"/>
        </w:trPr>
        <w:tc>
          <w:tcPr>
            <w:tcW w:w="522" w:type="dxa"/>
            <w:vMerge/>
            <w:tcBorders>
              <w:left w:val="single" w:sz="8" w:space="0" w:color="auto"/>
            </w:tcBorders>
            <w:vAlign w:val="center"/>
          </w:tcPr>
          <w:p w:rsidR="00EC2EB3" w:rsidRDefault="00EC2EB3" w:rsidP="008F7767">
            <w:pPr>
              <w:spacing w:line="26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sz w:val="24"/>
                <w:szCs w:val="24"/>
              </w:rPr>
            </w:pPr>
          </w:p>
        </w:tc>
        <w:tc>
          <w:tcPr>
            <w:tcW w:w="6135" w:type="dxa"/>
            <w:vAlign w:val="center"/>
          </w:tcPr>
          <w:p w:rsidR="00EC2EB3" w:rsidRDefault="00EC2EB3" w:rsidP="008F7767">
            <w:pPr>
              <w:spacing w:line="34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18.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合理配备炊事人员，与婴幼儿数的比例不低于以下标准：每日提供三餐三点心的，按照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1:30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配备人员，一餐两点心的，按照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1:50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配备人员（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分）；取得类别包含食品的从业人员健康证（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分）。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49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739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left"/>
              <w:rPr>
                <w:rFonts w:ascii="Times New Roman" w:eastAsia="微软雅黑" w:hAnsi="Times New Roman"/>
                <w:sz w:val="20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无炊事人员该项不得分</w:t>
            </w:r>
          </w:p>
        </w:tc>
      </w:tr>
      <w:tr w:rsidR="00EC2EB3" w:rsidTr="008F7767">
        <w:trPr>
          <w:cantSplit/>
          <w:trHeight w:val="1117"/>
        </w:trPr>
        <w:tc>
          <w:tcPr>
            <w:tcW w:w="522" w:type="dxa"/>
            <w:vMerge/>
            <w:tcBorders>
              <w:left w:val="single" w:sz="8" w:space="0" w:color="auto"/>
            </w:tcBorders>
            <w:vAlign w:val="center"/>
          </w:tcPr>
          <w:p w:rsidR="00EC2EB3" w:rsidRDefault="00EC2EB3" w:rsidP="008F7767">
            <w:pPr>
              <w:spacing w:line="26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sz w:val="24"/>
                <w:szCs w:val="24"/>
              </w:rPr>
            </w:pPr>
          </w:p>
        </w:tc>
        <w:tc>
          <w:tcPr>
            <w:tcW w:w="6135" w:type="dxa"/>
            <w:vAlign w:val="center"/>
          </w:tcPr>
          <w:p w:rsidR="00EC2EB3" w:rsidRDefault="00EC2EB3" w:rsidP="008F7767">
            <w:pPr>
              <w:spacing w:line="34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19.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独立设置机构需配备保安，若依托其他单位设置，则该被依托单位需配保安（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分）；保安人员应当取得公安机关颁发的《保安员证》，并由获得公安机关颁发的《保安服务许可证》的保安公司派驻（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分）。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49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739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</w:tr>
      <w:tr w:rsidR="00EC2EB3" w:rsidTr="008F7767">
        <w:trPr>
          <w:cantSplit/>
          <w:trHeight w:val="1117"/>
        </w:trPr>
        <w:tc>
          <w:tcPr>
            <w:tcW w:w="522" w:type="dxa"/>
            <w:vMerge/>
            <w:tcBorders>
              <w:left w:val="single" w:sz="8" w:space="0" w:color="auto"/>
            </w:tcBorders>
            <w:vAlign w:val="center"/>
          </w:tcPr>
          <w:p w:rsidR="00EC2EB3" w:rsidRDefault="00EC2EB3" w:rsidP="008F7767">
            <w:pPr>
              <w:spacing w:line="26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  <w:r>
              <w:rPr>
                <w:rFonts w:ascii="Times New Roman" w:eastAsia="楷体_GB2312" w:hAnsi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eastAsia="楷体_GB2312" w:hAnsi="Times New Roman"/>
                <w:b/>
                <w:sz w:val="24"/>
                <w:szCs w:val="24"/>
              </w:rPr>
              <w:t>人员管理</w:t>
            </w:r>
          </w:p>
        </w:tc>
        <w:tc>
          <w:tcPr>
            <w:tcW w:w="6135" w:type="dxa"/>
            <w:vAlign w:val="center"/>
          </w:tcPr>
          <w:p w:rsidR="00EC2EB3" w:rsidRDefault="00EC2EB3" w:rsidP="008F7767">
            <w:pPr>
              <w:spacing w:line="34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20.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依法与机构从业人员签订劳动合同并缴纳社保，保障从业人员合法权益（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；建立人员培训、职级评定等制度，建立负责人、工作人员的继续教育制度，并按规定组织和支持从业人员参加继续教育进修活动，通过集中培训、在线学习等方式，不断提高从业人员的专业能力、职业道德和心理健康水平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分）。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49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739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</w:tr>
      <w:tr w:rsidR="00EC2EB3" w:rsidTr="008F7767">
        <w:trPr>
          <w:cantSplit/>
          <w:trHeight w:val="808"/>
        </w:trPr>
        <w:tc>
          <w:tcPr>
            <w:tcW w:w="522" w:type="dxa"/>
            <w:vMerge/>
            <w:tcBorders>
              <w:left w:val="single" w:sz="8" w:space="0" w:color="auto"/>
            </w:tcBorders>
            <w:vAlign w:val="center"/>
          </w:tcPr>
          <w:p w:rsidR="00EC2EB3" w:rsidRDefault="00EC2EB3" w:rsidP="008F7767">
            <w:pPr>
              <w:spacing w:line="26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  <w:r>
              <w:rPr>
                <w:rFonts w:ascii="Times New Roman" w:eastAsia="楷体_GB2312" w:hAnsi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eastAsia="楷体_GB2312" w:hAnsi="Times New Roman"/>
                <w:b/>
                <w:sz w:val="24"/>
                <w:szCs w:val="24"/>
              </w:rPr>
              <w:t>收费管理</w:t>
            </w:r>
          </w:p>
        </w:tc>
        <w:tc>
          <w:tcPr>
            <w:tcW w:w="6135" w:type="dxa"/>
            <w:vAlign w:val="center"/>
          </w:tcPr>
          <w:p w:rsidR="00EC2EB3" w:rsidRDefault="00EC2EB3" w:rsidP="008F7767">
            <w:pPr>
              <w:spacing w:line="34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21.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机构实行明码标价，自觉规范收费行为，并使用规范的专用票据（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分）；不得一次性收取时间跨度超过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个月的费用（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分）；除银行信用卡及常见类似产品外，不得支持、诱导消费者开办消费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贷用于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支付托育费用（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分）。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49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739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</w:tr>
      <w:tr w:rsidR="00EC2EB3" w:rsidTr="008F7767">
        <w:trPr>
          <w:cantSplit/>
          <w:trHeight w:val="1843"/>
        </w:trPr>
        <w:tc>
          <w:tcPr>
            <w:tcW w:w="522" w:type="dxa"/>
            <w:vMerge/>
            <w:tcBorders>
              <w:left w:val="single" w:sz="8" w:space="0" w:color="auto"/>
            </w:tcBorders>
            <w:vAlign w:val="center"/>
          </w:tcPr>
          <w:p w:rsidR="00EC2EB3" w:rsidRDefault="00EC2EB3" w:rsidP="008F7767">
            <w:pPr>
              <w:spacing w:line="26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sz w:val="24"/>
                <w:szCs w:val="24"/>
              </w:rPr>
              <w:t>7.</w:t>
            </w:r>
          </w:p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sz w:val="24"/>
                <w:szCs w:val="24"/>
              </w:rPr>
              <w:t>安全管理</w:t>
            </w:r>
          </w:p>
        </w:tc>
        <w:tc>
          <w:tcPr>
            <w:tcW w:w="6135" w:type="dxa"/>
            <w:vAlign w:val="center"/>
          </w:tcPr>
          <w:p w:rsidR="00EC2EB3" w:rsidRDefault="00EC2EB3" w:rsidP="008F7767">
            <w:pPr>
              <w:spacing w:line="340" w:lineRule="exact"/>
              <w:rPr>
                <w:rFonts w:ascii="Times New Roman" w:eastAsia="微软雅黑" w:hAnsi="Times New Roman"/>
                <w:sz w:val="20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22.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落实安全管理主体责任，建立健全安全防护措施和检查制度、门卫、房屋、设备、消防、交通、婴幼儿接送、活动组织和婴幼儿就寝值守等各项安全防护制度，主要包括：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①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安全责任制度；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②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婴幼儿接送制度；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③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环境安全检查制度；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④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信息保护制度等（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分）；制定重大自然灾害、踩踏、火灾、暴力等突发事件应急预案（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分）。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49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739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</w:tr>
      <w:tr w:rsidR="00EC2EB3" w:rsidTr="008F7767">
        <w:trPr>
          <w:cantSplit/>
          <w:trHeight w:val="691"/>
        </w:trPr>
        <w:tc>
          <w:tcPr>
            <w:tcW w:w="522" w:type="dxa"/>
            <w:vMerge/>
            <w:tcBorders>
              <w:left w:val="single" w:sz="8" w:space="0" w:color="auto"/>
            </w:tcBorders>
            <w:vAlign w:val="center"/>
          </w:tcPr>
          <w:p w:rsidR="00EC2EB3" w:rsidRDefault="00EC2EB3" w:rsidP="008F7767">
            <w:pPr>
              <w:spacing w:line="26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EC2EB3" w:rsidRDefault="00EC2EB3" w:rsidP="008F7767">
            <w:pPr>
              <w:spacing w:line="26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</w:p>
        </w:tc>
        <w:tc>
          <w:tcPr>
            <w:tcW w:w="6135" w:type="dxa"/>
            <w:vAlign w:val="center"/>
          </w:tcPr>
          <w:p w:rsidR="00EC2EB3" w:rsidRDefault="00EC2EB3" w:rsidP="008F7767">
            <w:pPr>
              <w:spacing w:line="340" w:lineRule="exact"/>
              <w:rPr>
                <w:rFonts w:ascii="Times New Roman" w:eastAsia="微软雅黑" w:hAnsi="Times New Roman"/>
                <w:sz w:val="20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23.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从业人员掌握预防婴幼儿伤害的相关知识和急救技能（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49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739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现场考核</w:t>
            </w:r>
          </w:p>
        </w:tc>
      </w:tr>
      <w:tr w:rsidR="00EC2EB3" w:rsidTr="008F7767">
        <w:trPr>
          <w:cantSplit/>
          <w:trHeight w:val="986"/>
        </w:trPr>
        <w:tc>
          <w:tcPr>
            <w:tcW w:w="522" w:type="dxa"/>
            <w:vMerge w:val="restart"/>
            <w:tcBorders>
              <w:left w:val="single" w:sz="8" w:space="0" w:color="auto"/>
            </w:tcBorders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  <w:r>
              <w:rPr>
                <w:rFonts w:ascii="Times New Roman" w:eastAsia="微软雅黑" w:hAnsi="Times New Roman"/>
                <w:sz w:val="20"/>
                <w:szCs w:val="21"/>
              </w:rPr>
              <w:t xml:space="preserve">     </w:t>
            </w:r>
          </w:p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  <w:r>
              <w:rPr>
                <w:rFonts w:ascii="Times New Roman" w:eastAsia="微软雅黑" w:hAnsi="Times New Roman"/>
                <w:sz w:val="20"/>
                <w:szCs w:val="21"/>
              </w:rPr>
              <w:t xml:space="preserve">    </w:t>
            </w:r>
          </w:p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/>
                <w:sz w:val="2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三、</w:t>
            </w:r>
          </w:p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卫生保健</w:t>
            </w:r>
          </w:p>
        </w:tc>
        <w:tc>
          <w:tcPr>
            <w:tcW w:w="567" w:type="dxa"/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eastAsia="楷体_GB2312" w:hAnsi="Times New Roman"/>
                <w:b/>
                <w:sz w:val="24"/>
                <w:szCs w:val="24"/>
              </w:rPr>
              <w:t>保健设施</w:t>
            </w:r>
          </w:p>
        </w:tc>
        <w:tc>
          <w:tcPr>
            <w:tcW w:w="6135" w:type="dxa"/>
            <w:vAlign w:val="center"/>
          </w:tcPr>
          <w:p w:rsidR="00EC2EB3" w:rsidRDefault="00EC2EB3" w:rsidP="008F7767">
            <w:pPr>
              <w:spacing w:line="34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24.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保健室设有儿童观察床，且符合安全要求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有流动水和独立的厕所（或便盆）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配备办公桌椅、档案柜、儿童杠杆式体重秤、量床（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岁以下儿童使用）、身高计（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岁以上儿童使用）、皮尺、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额温枪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、体温计、外用药品、消毒用品等（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分）；晨检车配备棉签、压舌板、免洗医用洗手液、手电筒、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额温枪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等（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0.5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分）；活动室、寝室、幼儿卫生间等婴幼儿用房宜采用安全型移动式紫外线杀菌消毒设备，紫外线杀菌灯的控制装置应单独设置，并应采取防误开措施（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0.5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分）；保健人员定期接受儿童保健专业培训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(1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567" w:type="dxa"/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EC2EB3" w:rsidRDefault="00EC2EB3" w:rsidP="008F7767">
            <w:pPr>
              <w:spacing w:line="20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C2EB3" w:rsidRDefault="00EC2EB3" w:rsidP="008F7767">
            <w:pPr>
              <w:spacing w:line="20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739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6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</w:tr>
      <w:tr w:rsidR="00EC2EB3" w:rsidTr="008F7767">
        <w:trPr>
          <w:cantSplit/>
          <w:trHeight w:val="986"/>
        </w:trPr>
        <w:tc>
          <w:tcPr>
            <w:tcW w:w="522" w:type="dxa"/>
            <w:vMerge/>
            <w:tcBorders>
              <w:left w:val="single" w:sz="8" w:space="0" w:color="auto"/>
            </w:tcBorders>
            <w:vAlign w:val="center"/>
          </w:tcPr>
          <w:p w:rsidR="00EC2EB3" w:rsidRDefault="00EC2EB3" w:rsidP="008F7767">
            <w:pPr>
              <w:spacing w:line="20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  <w:r>
              <w:rPr>
                <w:rFonts w:ascii="Times New Roman" w:eastAsia="楷体_GB2312" w:hAnsi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eastAsia="楷体_GB2312" w:hAnsi="Times New Roman"/>
                <w:b/>
                <w:sz w:val="24"/>
                <w:szCs w:val="24"/>
              </w:rPr>
              <w:t>保健制度</w:t>
            </w:r>
          </w:p>
        </w:tc>
        <w:tc>
          <w:tcPr>
            <w:tcW w:w="6135" w:type="dxa"/>
            <w:vAlign w:val="center"/>
          </w:tcPr>
          <w:p w:rsidR="00EC2EB3" w:rsidRDefault="00EC2EB3" w:rsidP="008F7767">
            <w:pPr>
              <w:spacing w:line="34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25.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加强婴幼儿健康管理，科学合理安排婴幼儿生活、饮食、饮水、喂奶、如厕、盥洗、清洁、睡眠起居等各个环节（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分）；结合实际工作建立各项制度，主要包括：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①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健康检查制度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②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卫生和消毒制度膳食管理制度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③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传染病预防和管理制度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④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食品安全管理制度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⑤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用药管理制度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⑥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报告制度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⑦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工作人员健康管理制度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⑧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信息收集上报制度（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分）。</w:t>
            </w:r>
          </w:p>
        </w:tc>
        <w:tc>
          <w:tcPr>
            <w:tcW w:w="567" w:type="dxa"/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EC2EB3" w:rsidRDefault="00EC2EB3" w:rsidP="008F7767">
            <w:pPr>
              <w:spacing w:line="20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C2EB3" w:rsidRDefault="00EC2EB3" w:rsidP="008F7767">
            <w:pPr>
              <w:spacing w:line="20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739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6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</w:tr>
      <w:tr w:rsidR="00EC2EB3" w:rsidTr="008F7767">
        <w:trPr>
          <w:cantSplit/>
          <w:trHeight w:val="90"/>
        </w:trPr>
        <w:tc>
          <w:tcPr>
            <w:tcW w:w="522" w:type="dxa"/>
            <w:vMerge/>
            <w:tcBorders>
              <w:left w:val="single" w:sz="8" w:space="0" w:color="auto"/>
            </w:tcBorders>
            <w:vAlign w:val="center"/>
          </w:tcPr>
          <w:p w:rsidR="00EC2EB3" w:rsidRDefault="00EC2EB3" w:rsidP="008F7767">
            <w:pPr>
              <w:spacing w:line="26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8" w:space="0" w:color="auto"/>
            </w:tcBorders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eastAsia="楷体_GB2312" w:hAnsi="Times New Roman"/>
                <w:b/>
                <w:sz w:val="24"/>
                <w:szCs w:val="24"/>
              </w:rPr>
              <w:t>日常保健</w:t>
            </w:r>
          </w:p>
        </w:tc>
        <w:tc>
          <w:tcPr>
            <w:tcW w:w="6135" w:type="dxa"/>
            <w:vAlign w:val="center"/>
          </w:tcPr>
          <w:p w:rsidR="00EC2EB3" w:rsidRDefault="00EC2EB3" w:rsidP="008F7767">
            <w:pPr>
              <w:spacing w:line="34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26.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配合卫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健部门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做好婴幼儿健康管理、计划免疫工作，认真做好晨检及全日健康观察等日常卫生保健工作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(1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，入托前查验婴幼儿的《预防接种证》并做好记录及时上报（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分）；建立健全幼儿健康档案，各类账册、资料、档案齐全、规范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49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739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</w:tr>
      <w:tr w:rsidR="00EC2EB3" w:rsidTr="008F7767">
        <w:trPr>
          <w:cantSplit/>
          <w:trHeight w:val="468"/>
        </w:trPr>
        <w:tc>
          <w:tcPr>
            <w:tcW w:w="522" w:type="dxa"/>
            <w:vMerge/>
            <w:tcBorders>
              <w:left w:val="single" w:sz="8" w:space="0" w:color="auto"/>
            </w:tcBorders>
            <w:vAlign w:val="center"/>
          </w:tcPr>
          <w:p w:rsidR="00EC2EB3" w:rsidRDefault="00EC2EB3" w:rsidP="008F7767">
            <w:pPr>
              <w:spacing w:line="26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EC2EB3" w:rsidRDefault="00EC2EB3" w:rsidP="008F7767">
            <w:pPr>
              <w:spacing w:line="26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6135" w:type="dxa"/>
            <w:vAlign w:val="center"/>
          </w:tcPr>
          <w:p w:rsidR="00EC2EB3" w:rsidRDefault="00EC2EB3" w:rsidP="008F7767">
            <w:pPr>
              <w:spacing w:line="34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27.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婴幼儿入托体检率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100%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；离开机构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个月以上返回时应重新体检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0.5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；所有工作人员必须持有健康证，并每年进行体检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；无慢性传染病和精神疾病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0.5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49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739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</w:tr>
      <w:tr w:rsidR="00EC2EB3" w:rsidTr="008F7767">
        <w:trPr>
          <w:cantSplit/>
          <w:trHeight w:val="937"/>
        </w:trPr>
        <w:tc>
          <w:tcPr>
            <w:tcW w:w="522" w:type="dxa"/>
            <w:vMerge/>
            <w:tcBorders>
              <w:left w:val="single" w:sz="8" w:space="0" w:color="auto"/>
            </w:tcBorders>
            <w:vAlign w:val="center"/>
          </w:tcPr>
          <w:p w:rsidR="00EC2EB3" w:rsidRDefault="00EC2EB3" w:rsidP="008F7767">
            <w:pPr>
              <w:spacing w:line="26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sz w:val="24"/>
                <w:szCs w:val="24"/>
              </w:rPr>
              <w:t>11.</w:t>
            </w:r>
          </w:p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sz w:val="24"/>
                <w:szCs w:val="24"/>
              </w:rPr>
              <w:t>膳食</w:t>
            </w:r>
          </w:p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sz w:val="24"/>
                <w:szCs w:val="24"/>
              </w:rPr>
              <w:t>营养</w:t>
            </w:r>
          </w:p>
        </w:tc>
        <w:tc>
          <w:tcPr>
            <w:tcW w:w="6135" w:type="dxa"/>
            <w:vAlign w:val="center"/>
          </w:tcPr>
          <w:p w:rsidR="00EC2EB3" w:rsidRDefault="00EC2EB3" w:rsidP="008F7767">
            <w:pPr>
              <w:spacing w:line="34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28.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建立营养管理制度，为幼儿提供合理的膳食，根据时令及幼儿特点制订定量食谱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；定期进行营养分析，并向家长公布幼儿进食量和营养摄取量等情况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49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739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</w:tr>
      <w:tr w:rsidR="00EC2EB3" w:rsidTr="008F7767">
        <w:trPr>
          <w:cantSplit/>
          <w:trHeight w:val="937"/>
        </w:trPr>
        <w:tc>
          <w:tcPr>
            <w:tcW w:w="522" w:type="dxa"/>
            <w:tcBorders>
              <w:left w:val="single" w:sz="8" w:space="0" w:color="auto"/>
            </w:tcBorders>
            <w:vAlign w:val="center"/>
          </w:tcPr>
          <w:p w:rsidR="00EC2EB3" w:rsidRDefault="00EC2EB3" w:rsidP="008F7767">
            <w:pPr>
              <w:spacing w:line="26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sz w:val="24"/>
                <w:szCs w:val="24"/>
              </w:rPr>
              <w:t>12.</w:t>
            </w:r>
          </w:p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  <w:r>
              <w:rPr>
                <w:rFonts w:ascii="Times New Roman" w:eastAsia="楷体_GB2312" w:hAnsi="Times New Roman"/>
                <w:b/>
                <w:sz w:val="24"/>
                <w:szCs w:val="24"/>
              </w:rPr>
              <w:t>食品安全</w:t>
            </w:r>
          </w:p>
        </w:tc>
        <w:tc>
          <w:tcPr>
            <w:tcW w:w="6135" w:type="dxa"/>
            <w:vAlign w:val="center"/>
          </w:tcPr>
          <w:p w:rsidR="00EC2EB3" w:rsidRDefault="00EC2EB3" w:rsidP="008F7767">
            <w:pPr>
              <w:spacing w:line="34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29.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食堂严格执行《食品卫生法》，做好饮食卫生管理（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0.5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分）；严格执行幼儿食品留样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48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小时的规定（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0.5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分）。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49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739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</w:tr>
      <w:tr w:rsidR="00EC2EB3" w:rsidTr="008F7767">
        <w:trPr>
          <w:cantSplit/>
          <w:trHeight w:val="937"/>
        </w:trPr>
        <w:tc>
          <w:tcPr>
            <w:tcW w:w="522" w:type="dxa"/>
            <w:vMerge w:val="restart"/>
            <w:tcBorders>
              <w:left w:val="single" w:sz="8" w:space="0" w:color="auto"/>
            </w:tcBorders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四、</w:t>
            </w:r>
          </w:p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保育服务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</w:tcBorders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sz w:val="24"/>
                <w:szCs w:val="24"/>
              </w:rPr>
              <w:t>13.</w:t>
            </w:r>
          </w:p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sz w:val="24"/>
                <w:szCs w:val="24"/>
              </w:rPr>
              <w:t>保育能力</w:t>
            </w:r>
          </w:p>
        </w:tc>
        <w:tc>
          <w:tcPr>
            <w:tcW w:w="6135" w:type="dxa"/>
            <w:vAlign w:val="center"/>
          </w:tcPr>
          <w:p w:rsidR="00EC2EB3" w:rsidRDefault="00EC2EB3" w:rsidP="008F7767">
            <w:pPr>
              <w:spacing w:line="34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30.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收托率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在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50-65%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分），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收托率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在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66-80%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分），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收托率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在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81-90%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分），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收托率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在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90%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以上（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分）。（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收托率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=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实际入托人数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备案托位数，可提供当年任一自然月收托人数，以平台数据和收费凭证作为依据）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49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739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</w:tr>
      <w:tr w:rsidR="00EC2EB3" w:rsidTr="008F7767">
        <w:trPr>
          <w:cantSplit/>
          <w:trHeight w:val="937"/>
        </w:trPr>
        <w:tc>
          <w:tcPr>
            <w:tcW w:w="522" w:type="dxa"/>
            <w:vMerge/>
            <w:tcBorders>
              <w:left w:val="single" w:sz="8" w:space="0" w:color="auto"/>
            </w:tcBorders>
            <w:vAlign w:val="center"/>
          </w:tcPr>
          <w:p w:rsidR="00EC2EB3" w:rsidRDefault="00EC2EB3" w:rsidP="008F7767">
            <w:pPr>
              <w:spacing w:line="26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sz w:val="24"/>
                <w:szCs w:val="24"/>
              </w:rPr>
            </w:pPr>
          </w:p>
        </w:tc>
        <w:tc>
          <w:tcPr>
            <w:tcW w:w="6135" w:type="dxa"/>
            <w:vAlign w:val="center"/>
          </w:tcPr>
          <w:p w:rsidR="00EC2EB3" w:rsidRDefault="00EC2EB3" w:rsidP="008F7767">
            <w:pPr>
              <w:spacing w:line="340" w:lineRule="exact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31.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设有乳儿班（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分），乳儿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班设置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配乳室（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分）；设有托小班（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分）。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49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739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实际未招收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乳儿班托小班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的，此项不得分</w:t>
            </w:r>
          </w:p>
        </w:tc>
      </w:tr>
      <w:tr w:rsidR="00EC2EB3" w:rsidTr="008F7767">
        <w:trPr>
          <w:cantSplit/>
          <w:trHeight w:val="937"/>
        </w:trPr>
        <w:tc>
          <w:tcPr>
            <w:tcW w:w="522" w:type="dxa"/>
            <w:vMerge/>
            <w:tcBorders>
              <w:left w:val="single" w:sz="8" w:space="0" w:color="auto"/>
            </w:tcBorders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8" w:space="0" w:color="auto"/>
            </w:tcBorders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sz w:val="24"/>
                <w:szCs w:val="24"/>
              </w:rPr>
              <w:t>14.</w:t>
            </w:r>
          </w:p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sz w:val="24"/>
                <w:szCs w:val="24"/>
              </w:rPr>
              <w:t>保育质量</w:t>
            </w:r>
          </w:p>
        </w:tc>
        <w:tc>
          <w:tcPr>
            <w:tcW w:w="6135" w:type="dxa"/>
          </w:tcPr>
          <w:p w:rsidR="00EC2EB3" w:rsidRDefault="00EC2EB3" w:rsidP="008F7767">
            <w:pPr>
              <w:spacing w:line="340" w:lineRule="exact"/>
              <w:rPr>
                <w:rFonts w:ascii="Times New Roman" w:eastAsia="微软雅黑" w:hAnsi="Times New Roman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32.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根据婴幼儿不同月龄段的生理和心理发展特点，科学安排婴幼儿作息时间，注意动静结合、室内活动与室外活动结合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；保证婴幼儿每日户外活动不少于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小时，寒冷、炎热季节或特殊天气情况下可酌情调整（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分）；托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育机构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严禁开展违反幼儿生理和心理发展规律、有损婴幼儿身心健康的超前学习或活动（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分）；严禁虐待、歧视、体罚或变相体罚等损害幼儿身心健康的行为（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分）。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49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739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现场测评</w:t>
            </w:r>
          </w:p>
        </w:tc>
      </w:tr>
      <w:tr w:rsidR="00EC2EB3" w:rsidTr="008F7767">
        <w:trPr>
          <w:cantSplit/>
          <w:trHeight w:val="90"/>
        </w:trPr>
        <w:tc>
          <w:tcPr>
            <w:tcW w:w="522" w:type="dxa"/>
            <w:vMerge/>
            <w:tcBorders>
              <w:left w:val="single" w:sz="8" w:space="0" w:color="auto"/>
            </w:tcBorders>
            <w:vAlign w:val="center"/>
          </w:tcPr>
          <w:p w:rsidR="00EC2EB3" w:rsidRDefault="00EC2EB3" w:rsidP="008F7767">
            <w:pPr>
              <w:spacing w:line="26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EC2EB3" w:rsidRDefault="00EC2EB3" w:rsidP="008F7767">
            <w:pPr>
              <w:spacing w:line="260" w:lineRule="exact"/>
              <w:jc w:val="center"/>
              <w:rPr>
                <w:rFonts w:ascii="Times New Roman" w:eastAsia="微软雅黑" w:hAnsi="Times New Roman"/>
                <w:sz w:val="20"/>
                <w:szCs w:val="21"/>
              </w:rPr>
            </w:pPr>
          </w:p>
        </w:tc>
        <w:tc>
          <w:tcPr>
            <w:tcW w:w="6135" w:type="dxa"/>
            <w:vAlign w:val="center"/>
          </w:tcPr>
          <w:p w:rsidR="00EC2EB3" w:rsidRDefault="00EC2EB3" w:rsidP="008F7767">
            <w:pPr>
              <w:spacing w:line="340" w:lineRule="exact"/>
              <w:rPr>
                <w:rFonts w:ascii="Times New Roman" w:eastAsia="微软雅黑" w:hAnsi="Times New Roman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33.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以游戏为主要活动形式，寓教育于各种活动之中，促进婴幼儿在身体发育、动作、语言、认知、情感与社会性等方面的全面发展（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分）；活动应以个别、小组活动形式为主，集中统一活动时间不宜过长，便于工作人员多与婴幼儿进行面对面、一对一地个别交流，体现情感关怀（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分）。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49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739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34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现场测评</w:t>
            </w:r>
          </w:p>
        </w:tc>
      </w:tr>
      <w:tr w:rsidR="00EC2EB3" w:rsidTr="008F7767">
        <w:trPr>
          <w:cantSplit/>
          <w:trHeight w:val="1520"/>
        </w:trPr>
        <w:tc>
          <w:tcPr>
            <w:tcW w:w="522" w:type="dxa"/>
            <w:vMerge/>
            <w:tcBorders>
              <w:left w:val="single" w:sz="8" w:space="0" w:color="auto"/>
            </w:tcBorders>
            <w:vAlign w:val="center"/>
          </w:tcPr>
          <w:p w:rsidR="00EC2EB3" w:rsidRDefault="00EC2EB3" w:rsidP="008F7767">
            <w:pPr>
              <w:spacing w:line="26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sz w:val="24"/>
                <w:szCs w:val="24"/>
              </w:rPr>
              <w:t>15.</w:t>
            </w:r>
          </w:p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  <w:r>
              <w:rPr>
                <w:rFonts w:ascii="Times New Roman" w:eastAsia="楷体_GB2312" w:hAnsi="Times New Roman"/>
                <w:b/>
                <w:sz w:val="24"/>
                <w:szCs w:val="24"/>
              </w:rPr>
              <w:t>家园共育</w:t>
            </w:r>
          </w:p>
        </w:tc>
        <w:tc>
          <w:tcPr>
            <w:tcW w:w="6135" w:type="dxa"/>
            <w:vAlign w:val="center"/>
          </w:tcPr>
          <w:p w:rsidR="00EC2EB3" w:rsidRDefault="00EC2EB3" w:rsidP="008F7767">
            <w:pPr>
              <w:spacing w:line="340" w:lineRule="exact"/>
              <w:rPr>
                <w:rFonts w:ascii="Times New Roman" w:eastAsia="微软雅黑" w:hAnsi="Times New Roman"/>
                <w:sz w:val="20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34.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建立与家长联系的制度，定期召开家长会议，接待来访和咨询，帮助家长了解托</w:t>
            </w:r>
            <w:proofErr w:type="gramStart"/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育机构</w:t>
            </w:r>
            <w:proofErr w:type="gramEnd"/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的保育照护内容和方法（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分）；建立收集家长有关婴幼儿重要事项的意见和建议的机制，设立公开监督电话（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分）；建立家长开放日制度（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分）；重视家园共育，通过多种形式向家长普及科学养育照护理念和方法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；家长满意率高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49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739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34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现场问卷调查家长满意度</w:t>
            </w:r>
          </w:p>
        </w:tc>
      </w:tr>
      <w:tr w:rsidR="00EC2EB3" w:rsidTr="008F7767">
        <w:trPr>
          <w:cantSplit/>
          <w:trHeight w:val="833"/>
        </w:trPr>
        <w:tc>
          <w:tcPr>
            <w:tcW w:w="522" w:type="dxa"/>
            <w:vMerge/>
            <w:tcBorders>
              <w:left w:val="single" w:sz="8" w:space="0" w:color="auto"/>
            </w:tcBorders>
            <w:vAlign w:val="center"/>
          </w:tcPr>
          <w:p w:rsidR="00EC2EB3" w:rsidRDefault="00EC2EB3" w:rsidP="008F7767">
            <w:pPr>
              <w:spacing w:line="26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sz w:val="24"/>
                <w:szCs w:val="24"/>
              </w:rPr>
              <w:t>16.</w:t>
            </w:r>
          </w:p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sz w:val="24"/>
                <w:szCs w:val="24"/>
              </w:rPr>
              <w:t>社区服务</w:t>
            </w:r>
          </w:p>
        </w:tc>
        <w:tc>
          <w:tcPr>
            <w:tcW w:w="6135" w:type="dxa"/>
            <w:vAlign w:val="center"/>
          </w:tcPr>
          <w:p w:rsidR="00EC2EB3" w:rsidRDefault="00EC2EB3" w:rsidP="008F7767">
            <w:pPr>
              <w:spacing w:line="340" w:lineRule="exact"/>
              <w:rPr>
                <w:rFonts w:ascii="Times New Roman" w:eastAsia="微软雅黑" w:hAnsi="Times New Roman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35.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加强与社区的联系与合作，志愿参与婴幼儿成长驿站的管理，面向社区宣传科学养育照护知识，开展多种形式的公益服务活动（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分）。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497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739" w:type="dxa"/>
            <w:tcBorders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</w:tr>
      <w:tr w:rsidR="00EC2EB3" w:rsidTr="008F7767">
        <w:trPr>
          <w:cantSplit/>
          <w:trHeight w:val="833"/>
        </w:trPr>
        <w:tc>
          <w:tcPr>
            <w:tcW w:w="52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五、附加项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sz w:val="24"/>
                <w:szCs w:val="24"/>
              </w:rPr>
              <w:t>17.</w:t>
            </w:r>
          </w:p>
          <w:p w:rsidR="00EC2EB3" w:rsidRDefault="00EC2EB3" w:rsidP="008F7767">
            <w:pPr>
              <w:spacing w:line="320" w:lineRule="exact"/>
              <w:jc w:val="center"/>
              <w:rPr>
                <w:rFonts w:ascii="Times New Roman" w:eastAsia="楷体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sz w:val="24"/>
                <w:szCs w:val="24"/>
              </w:rPr>
              <w:t>发展普惠</w:t>
            </w:r>
          </w:p>
        </w:tc>
        <w:tc>
          <w:tcPr>
            <w:tcW w:w="6135" w:type="dxa"/>
            <w:tcBorders>
              <w:bottom w:val="single" w:sz="8" w:space="0" w:color="auto"/>
            </w:tcBorders>
            <w:vAlign w:val="center"/>
          </w:tcPr>
          <w:p w:rsidR="00EC2EB3" w:rsidRDefault="00EC2EB3" w:rsidP="008F7767">
            <w:pPr>
              <w:spacing w:line="340" w:lineRule="exact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36.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机构性质为街道社区公建民营，或者产业园区、企事业单位面向内部职工自建的，保育服务收费明显低于市场价（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分）。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分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4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C2EB3" w:rsidRDefault="00EC2EB3" w:rsidP="008F7767">
            <w:pPr>
              <w:spacing w:line="280" w:lineRule="exact"/>
              <w:jc w:val="center"/>
              <w:rPr>
                <w:rFonts w:ascii="Times New Roman" w:eastAsia="微软雅黑" w:hAnsi="Times New Roman"/>
                <w:sz w:val="20"/>
                <w:szCs w:val="24"/>
              </w:rPr>
            </w:pPr>
          </w:p>
        </w:tc>
      </w:tr>
    </w:tbl>
    <w:p w:rsidR="00490BA9" w:rsidRDefault="00490BA9"/>
    <w:sectPr w:rsidR="00490B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B3"/>
    <w:rsid w:val="00490BA9"/>
    <w:rsid w:val="00EC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697</Words>
  <Characters>3977</Characters>
  <Application>Microsoft Office Word</Application>
  <DocSecurity>0</DocSecurity>
  <Lines>33</Lines>
  <Paragraphs>9</Paragraphs>
  <ScaleCrop>false</ScaleCrop>
  <Company>杭州市政府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xuyw</dc:creator>
  <cp:lastModifiedBy>xuyw</cp:lastModifiedBy>
  <cp:revision>1</cp:revision>
  <dcterms:created xsi:type="dcterms:W3CDTF">2021-10-26T08:30:00Z</dcterms:created>
  <dcterms:modified xsi:type="dcterms:W3CDTF">2021-10-26T08:31:00Z</dcterms:modified>
</cp:coreProperties>
</file>