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小标宋" w:eastAsia="小标宋"/>
          <w:color w:val="FF0000"/>
          <w:w w:val="80"/>
          <w:sz w:val="70"/>
          <w:szCs w:val="70"/>
          <w:lang w:eastAsia="zh-CN"/>
        </w:rPr>
      </w:pPr>
      <w:bookmarkStart w:id="0" w:name="_Toc456193105"/>
    </w:p>
    <w:p>
      <w:pPr>
        <w:jc w:val="distribute"/>
        <w:rPr>
          <w:rFonts w:hint="eastAsia" w:ascii="小标宋" w:eastAsia="小标宋"/>
          <w:color w:val="FF0000"/>
          <w:w w:val="90"/>
          <w:sz w:val="90"/>
          <w:szCs w:val="90"/>
          <w:lang w:eastAsia="zh-CN"/>
        </w:rPr>
      </w:pPr>
      <w:r>
        <w:rPr>
          <w:rFonts w:hint="eastAsia" w:ascii="小标宋" w:eastAsia="小标宋"/>
          <w:color w:val="FF0000"/>
          <w:w w:val="80"/>
          <w:sz w:val="70"/>
          <w:szCs w:val="70"/>
          <w:lang w:eastAsia="zh-CN"/>
        </w:rPr>
        <w:t>杭州市经济和信息化局文件</w:t>
      </w:r>
    </w:p>
    <w:p>
      <w:pPr>
        <w:jc w:val="center"/>
        <w:rPr>
          <w:rFonts w:hint="eastAsia" w:ascii="小标宋" w:eastAsia="小标宋"/>
          <w:sz w:val="44"/>
          <w:szCs w:val="44"/>
        </w:rPr>
      </w:pPr>
    </w:p>
    <w:p>
      <w:pPr>
        <w:jc w:val="center"/>
        <w:rPr>
          <w:rFonts w:hint="default" w:ascii="小标宋" w:eastAsia="小标宋"/>
          <w:sz w:val="32"/>
          <w:szCs w:val="32"/>
          <w:u w:val="none"/>
          <w:lang w:val="en-US" w:eastAsia="zh-CN"/>
        </w:rPr>
      </w:pPr>
      <w:r>
        <w:rPr>
          <w:rFonts w:hint="eastAsia" w:ascii="仿宋_GB2312" w:hAnsi="仿宋_GB2312" w:eastAsia="仿宋_GB2312" w:cs="仿宋_GB2312"/>
          <w:color w:val="auto"/>
          <w:sz w:val="32"/>
          <w:szCs w:val="32"/>
          <w:u w:val="none"/>
          <w:lang w:eastAsia="zh-CN"/>
        </w:rPr>
        <w:t>杭经信规划〔</w:t>
      </w:r>
      <w:r>
        <w:rPr>
          <w:rFonts w:hint="eastAsia" w:ascii="仿宋_GB2312" w:hAnsi="仿宋_GB2312" w:eastAsia="仿宋_GB2312" w:cs="仿宋_GB2312"/>
          <w:color w:val="auto"/>
          <w:sz w:val="32"/>
          <w:szCs w:val="32"/>
          <w:u w:val="none"/>
          <w:lang w:val="en-US" w:eastAsia="zh-CN"/>
        </w:rPr>
        <w:t>2021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59号</w:t>
      </w:r>
    </w:p>
    <w:p>
      <w:pPr>
        <w:jc w:val="center"/>
        <w:rPr>
          <w:rFonts w:hint="default" w:ascii="小标宋" w:eastAsia="小标宋"/>
          <w:sz w:val="44"/>
          <w:szCs w:val="44"/>
          <w:lang w:val="en-US" w:eastAsia="zh-CN"/>
        </w:rPr>
      </w:pPr>
      <w:r>
        <w:rPr>
          <w:rFonts w:hint="eastAsia" w:ascii="小标宋" w:eastAsia="小标宋"/>
          <w:color w:val="FF0000"/>
          <w:sz w:val="44"/>
          <w:szCs w:val="44"/>
          <w:lang w:val="en-US" w:eastAsia="zh-CN"/>
        </w:rPr>
        <w:t>---------------------------------</w:t>
      </w:r>
    </w:p>
    <w:p>
      <w:pPr>
        <w:jc w:val="center"/>
        <w:rPr>
          <w:rFonts w:hint="eastAsia" w:ascii="小标宋" w:eastAsia="小标宋"/>
          <w:sz w:val="44"/>
          <w:szCs w:val="44"/>
        </w:rPr>
      </w:pPr>
      <w:r>
        <w:rPr>
          <w:rFonts w:hint="eastAsia" w:ascii="小标宋" w:eastAsia="小标宋"/>
          <w:sz w:val="44"/>
          <w:szCs w:val="44"/>
          <w:lang w:eastAsia="zh-CN"/>
        </w:rPr>
        <w:t>杭州市经济和信息化局</w:t>
      </w:r>
      <w:r>
        <w:rPr>
          <w:rFonts w:hint="eastAsia" w:ascii="小标宋" w:eastAsia="小标宋"/>
          <w:sz w:val="44"/>
          <w:szCs w:val="44"/>
        </w:rPr>
        <w:t>关于印发</w:t>
      </w:r>
    </w:p>
    <w:p>
      <w:pPr>
        <w:jc w:val="center"/>
        <w:rPr>
          <w:rFonts w:hint="eastAsia" w:ascii="小标宋" w:eastAsia="小标宋"/>
          <w:sz w:val="44"/>
          <w:szCs w:val="44"/>
        </w:rPr>
      </w:pPr>
      <w:r>
        <w:rPr>
          <w:rFonts w:hint="eastAsia" w:ascii="小标宋" w:eastAsia="小标宋"/>
          <w:sz w:val="44"/>
          <w:szCs w:val="44"/>
        </w:rPr>
        <w:t>杭州市工业设计发展</w:t>
      </w:r>
      <w:r>
        <w:rPr>
          <w:rFonts w:hint="eastAsia" w:ascii="小标宋" w:eastAsia="小标宋"/>
          <w:sz w:val="44"/>
          <w:szCs w:val="44"/>
          <w:lang w:eastAsia="zh-CN"/>
        </w:rPr>
        <w:t>“</w:t>
      </w:r>
      <w:r>
        <w:rPr>
          <w:rFonts w:hint="eastAsia" w:ascii="小标宋" w:eastAsia="小标宋"/>
          <w:sz w:val="44"/>
          <w:szCs w:val="44"/>
        </w:rPr>
        <w:t>十</w:t>
      </w:r>
      <w:r>
        <w:rPr>
          <w:rFonts w:hint="eastAsia" w:ascii="小标宋" w:eastAsia="小标宋"/>
          <w:sz w:val="44"/>
          <w:szCs w:val="44"/>
          <w:lang w:eastAsia="zh-CN"/>
        </w:rPr>
        <w:t>四</w:t>
      </w:r>
      <w:r>
        <w:rPr>
          <w:rFonts w:hint="eastAsia" w:ascii="小标宋" w:eastAsia="小标宋"/>
          <w:sz w:val="44"/>
          <w:szCs w:val="44"/>
        </w:rPr>
        <w:t>五</w:t>
      </w:r>
      <w:r>
        <w:rPr>
          <w:rFonts w:hint="eastAsia" w:ascii="小标宋" w:eastAsia="小标宋"/>
          <w:sz w:val="44"/>
          <w:szCs w:val="44"/>
          <w:lang w:eastAsia="zh-CN"/>
        </w:rPr>
        <w:t>”</w:t>
      </w:r>
      <w:r>
        <w:rPr>
          <w:rFonts w:hint="eastAsia" w:ascii="小标宋" w:eastAsia="小标宋"/>
          <w:sz w:val="44"/>
          <w:szCs w:val="44"/>
        </w:rPr>
        <w:t>规划的通知</w:t>
      </w:r>
    </w:p>
    <w:p>
      <w:pPr>
        <w:rPr>
          <w:sz w:val="32"/>
          <w:szCs w:val="32"/>
        </w:rPr>
      </w:pPr>
    </w:p>
    <w:p>
      <w:pPr>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各区、县（市）经信局（发改经</w:t>
      </w:r>
      <w:r>
        <w:rPr>
          <w:rFonts w:hint="eastAsia" w:ascii="仿宋_GB2312" w:hAnsi="仿宋" w:eastAsia="仿宋_GB2312"/>
          <w:color w:val="000000"/>
          <w:sz w:val="32"/>
          <w:szCs w:val="32"/>
          <w:shd w:val="clear" w:color="auto" w:fill="FFFFFF"/>
          <w:lang w:eastAsia="zh-CN"/>
        </w:rPr>
        <w:t>信</w:t>
      </w:r>
      <w:r>
        <w:rPr>
          <w:rFonts w:hint="eastAsia" w:ascii="仿宋_GB2312" w:hAnsi="仿宋" w:eastAsia="仿宋_GB2312"/>
          <w:color w:val="000000"/>
          <w:sz w:val="32"/>
          <w:szCs w:val="32"/>
          <w:shd w:val="clear" w:color="auto" w:fill="FFFFFF"/>
        </w:rPr>
        <w:t>局</w:t>
      </w:r>
      <w:r>
        <w:rPr>
          <w:rFonts w:hint="eastAsia" w:ascii="仿宋_GB2312" w:hAnsi="仿宋" w:eastAsia="仿宋_GB2312"/>
          <w:color w:val="000000"/>
          <w:sz w:val="32"/>
          <w:szCs w:val="32"/>
          <w:shd w:val="clear" w:color="auto" w:fill="FFFFFF"/>
          <w:lang w:eastAsia="zh-CN"/>
        </w:rPr>
        <w:t>、经信科技局</w:t>
      </w:r>
      <w:r>
        <w:rPr>
          <w:rFonts w:hint="eastAsia" w:ascii="仿宋_GB2312" w:hAnsi="仿宋" w:eastAsia="仿宋_GB2312"/>
          <w:color w:val="000000"/>
          <w:sz w:val="32"/>
          <w:szCs w:val="32"/>
          <w:shd w:val="clear" w:color="auto" w:fill="FFFFFF"/>
        </w:rPr>
        <w:t>）：</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w:t>
      </w:r>
      <w:r>
        <w:rPr>
          <w:rFonts w:hint="eastAsia" w:ascii="仿宋_GB2312" w:hAnsi="仿宋_GB2312" w:eastAsia="仿宋_GB2312" w:cs="仿宋_GB2312"/>
          <w:color w:val="000000"/>
          <w:sz w:val="32"/>
          <w:szCs w:val="32"/>
          <w:shd w:val="clear" w:color="auto" w:fill="FFFFFF"/>
          <w:lang w:eastAsia="zh-CN"/>
        </w:rPr>
        <w:t>进一步推进</w:t>
      </w:r>
      <w:r>
        <w:rPr>
          <w:rFonts w:hint="eastAsia" w:ascii="仿宋_GB2312" w:hAnsi="黑体" w:eastAsia="仿宋_GB2312"/>
          <w:sz w:val="32"/>
          <w:szCs w:val="32"/>
        </w:rPr>
        <w:t>工业设计赋能制造业，加速工业设计与制造业融合发展</w:t>
      </w:r>
      <w:r>
        <w:rPr>
          <w:rFonts w:hint="eastAsia" w:ascii="仿宋_GB2312" w:hAnsi="仿宋_GB2312" w:eastAsia="仿宋_GB2312" w:cs="仿宋_GB2312"/>
          <w:color w:val="000000"/>
          <w:sz w:val="32"/>
          <w:szCs w:val="32"/>
          <w:shd w:val="clear" w:color="auto" w:fill="FFFFFF"/>
        </w:rPr>
        <w:t>，根据</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kern w:val="0"/>
          <w:sz w:val="32"/>
          <w:szCs w:val="32"/>
          <w:lang w:val="en-US" w:eastAsia="zh-CN" w:bidi="ar"/>
        </w:rPr>
        <w:t>杭州市国民经济和社会发展第十四个五年规划和二</w:t>
      </w:r>
      <w:r>
        <w:rPr>
          <w:rFonts w:hint="eastAsia" w:ascii="仿宋_GB2312" w:hAnsi="仿宋_GB2312" w:eastAsia="仿宋_GB2312" w:cs="仿宋_GB2312"/>
          <w:i w:val="0"/>
          <w:caps w:val="0"/>
          <w:color w:val="333333"/>
          <w:spacing w:val="0"/>
          <w:kern w:val="0"/>
          <w:sz w:val="32"/>
          <w:szCs w:val="32"/>
          <w:shd w:val="clear" w:fill="FFFFFF"/>
          <w:lang w:val="en-US" w:eastAsia="zh-CN" w:bidi="ar"/>
        </w:rPr>
        <w:t>〇</w:t>
      </w:r>
      <w:r>
        <w:rPr>
          <w:rFonts w:hint="eastAsia" w:ascii="仿宋_GB2312" w:hAnsi="仿宋_GB2312" w:eastAsia="仿宋_GB2312" w:cs="仿宋_GB2312"/>
          <w:kern w:val="0"/>
          <w:sz w:val="32"/>
          <w:szCs w:val="32"/>
          <w:lang w:val="en-US" w:eastAsia="zh-CN" w:bidi="ar"/>
        </w:rPr>
        <w:t>三五年远景目标纲要》</w:t>
      </w:r>
      <w:r>
        <w:rPr>
          <w:rFonts w:hint="eastAsia" w:ascii="仿宋_GB2312" w:hAnsi="仿宋_GB2312" w:eastAsia="仿宋_GB2312" w:cs="仿宋_GB2312"/>
          <w:sz w:val="32"/>
          <w:szCs w:val="32"/>
          <w:lang w:eastAsia="zh-CN"/>
        </w:rPr>
        <w:t>有关要求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杭州市经信局</w:t>
      </w:r>
      <w:r>
        <w:rPr>
          <w:rFonts w:hint="eastAsia" w:ascii="仿宋_GB2312" w:hAnsi="仿宋_GB2312" w:eastAsia="仿宋_GB2312" w:cs="仿宋_GB2312"/>
          <w:color w:val="000000"/>
          <w:sz w:val="32"/>
          <w:szCs w:val="32"/>
          <w:shd w:val="clear" w:color="auto" w:fill="FFFFFF"/>
        </w:rPr>
        <w:t>组织编制了《杭州市工业设计发展“十</w:t>
      </w:r>
      <w:r>
        <w:rPr>
          <w:rFonts w:hint="eastAsia" w:ascii="仿宋_GB2312" w:hAnsi="仿宋_GB2312" w:eastAsia="仿宋_GB2312" w:cs="仿宋_GB2312"/>
          <w:color w:val="000000"/>
          <w:sz w:val="32"/>
          <w:szCs w:val="32"/>
          <w:shd w:val="clear" w:color="auto" w:fill="FFFFFF"/>
          <w:lang w:eastAsia="zh-CN"/>
        </w:rPr>
        <w:t>四</w:t>
      </w:r>
      <w:r>
        <w:rPr>
          <w:rFonts w:hint="eastAsia" w:ascii="仿宋_GB2312" w:hAnsi="仿宋_GB2312" w:eastAsia="仿宋_GB2312" w:cs="仿宋_GB2312"/>
          <w:color w:val="000000"/>
          <w:sz w:val="32"/>
          <w:szCs w:val="32"/>
          <w:shd w:val="clear" w:color="auto" w:fill="FFFFFF"/>
        </w:rPr>
        <w:t>五”规划》，现印发给你们，请结合本地实际，认真贯彻执行。</w:t>
      </w:r>
    </w:p>
    <w:p>
      <w:pPr>
        <w:ind w:firstLine="540"/>
        <w:rPr>
          <w:rFonts w:ascii="仿宋" w:hAnsi="仿宋" w:eastAsia="仿宋"/>
          <w:color w:val="000000"/>
          <w:sz w:val="32"/>
          <w:szCs w:val="32"/>
          <w:shd w:val="clear" w:color="auto" w:fill="FFFFFF"/>
        </w:rPr>
      </w:pPr>
    </w:p>
    <w:p>
      <w:pPr>
        <w:rPr>
          <w:rFonts w:ascii="仿宋" w:hAnsi="仿宋" w:eastAsia="仿宋"/>
          <w:color w:val="000000"/>
          <w:sz w:val="32"/>
          <w:szCs w:val="32"/>
          <w:shd w:val="clear" w:color="auto" w:fill="FFFFFF"/>
        </w:rPr>
      </w:pPr>
    </w:p>
    <w:p>
      <w:pPr>
        <w:ind w:firstLine="540"/>
        <w:jc w:val="center"/>
        <w:rPr>
          <w:rFonts w:hint="eastAsia" w:ascii="仿宋_GB2312" w:hAnsi="仿宋" w:eastAsia="仿宋_GB2312"/>
          <w:color w:val="000000"/>
          <w:sz w:val="32"/>
          <w:szCs w:val="32"/>
          <w:shd w:val="clear" w:color="auto" w:fill="FFFFFF"/>
          <w:lang w:eastAsia="zh-CN"/>
        </w:rPr>
      </w:pPr>
      <w:r>
        <w:rPr>
          <w:rFonts w:hint="eastAsia" w:ascii="仿宋_GB2312" w:hAnsi="仿宋" w:eastAsia="仿宋_GB2312"/>
          <w:color w:val="000000"/>
          <w:sz w:val="32"/>
          <w:szCs w:val="32"/>
          <w:shd w:val="clear" w:color="auto" w:fill="FFFFFF"/>
          <w:lang w:val="en-US" w:eastAsia="zh-CN"/>
        </w:rPr>
        <w:t xml:space="preserve">                       </w:t>
      </w:r>
      <w:r>
        <w:rPr>
          <w:rFonts w:hint="eastAsia" w:ascii="仿宋_GB2312" w:hAnsi="仿宋" w:eastAsia="仿宋_GB2312"/>
          <w:color w:val="000000"/>
          <w:sz w:val="32"/>
          <w:szCs w:val="32"/>
          <w:shd w:val="clear" w:color="auto" w:fill="FFFFFF"/>
        </w:rPr>
        <w:t>杭州市经济和信息化</w:t>
      </w:r>
      <w:r>
        <w:rPr>
          <w:rFonts w:hint="eastAsia" w:ascii="仿宋_GB2312" w:hAnsi="仿宋" w:eastAsia="仿宋_GB2312"/>
          <w:color w:val="000000"/>
          <w:sz w:val="32"/>
          <w:szCs w:val="32"/>
          <w:shd w:val="clear" w:color="auto" w:fill="FFFFFF"/>
          <w:lang w:eastAsia="zh-CN"/>
        </w:rPr>
        <w:t>局</w:t>
      </w:r>
    </w:p>
    <w:p>
      <w:pPr>
        <w:wordWrap w:val="0"/>
        <w:ind w:right="640" w:firstLine="5120" w:firstLineChars="1600"/>
        <w:rPr>
          <w:rFonts w:hint="eastAsia"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20</w:t>
      </w:r>
      <w:r>
        <w:rPr>
          <w:rFonts w:hint="eastAsia" w:ascii="仿宋_GB2312" w:hAnsi="仿宋" w:eastAsia="仿宋_GB2312"/>
          <w:color w:val="000000"/>
          <w:sz w:val="32"/>
          <w:szCs w:val="32"/>
          <w:shd w:val="clear" w:color="auto" w:fill="FFFFFF"/>
          <w:lang w:val="en-US" w:eastAsia="zh-CN"/>
        </w:rPr>
        <w:t>2</w:t>
      </w:r>
      <w:r>
        <w:rPr>
          <w:rFonts w:hint="eastAsia" w:ascii="仿宋_GB2312" w:hAnsi="仿宋" w:eastAsia="仿宋_GB2312"/>
          <w:color w:val="000000"/>
          <w:sz w:val="32"/>
          <w:szCs w:val="32"/>
          <w:shd w:val="clear" w:color="auto" w:fill="FFFFFF"/>
        </w:rPr>
        <w:t>1年</w:t>
      </w:r>
      <w:r>
        <w:rPr>
          <w:rFonts w:hint="eastAsia" w:ascii="仿宋_GB2312" w:hAnsi="仿宋" w:eastAsia="仿宋_GB2312"/>
          <w:color w:val="000000"/>
          <w:sz w:val="32"/>
          <w:szCs w:val="32"/>
          <w:shd w:val="clear" w:color="auto" w:fill="FFFFFF"/>
          <w:lang w:val="en-US" w:eastAsia="zh-CN"/>
        </w:rPr>
        <w:t>7</w:t>
      </w:r>
      <w:r>
        <w:rPr>
          <w:rFonts w:hint="eastAsia" w:ascii="仿宋_GB2312" w:hAnsi="仿宋" w:eastAsia="仿宋_GB2312"/>
          <w:color w:val="000000"/>
          <w:sz w:val="32"/>
          <w:szCs w:val="32"/>
          <w:shd w:val="clear" w:color="auto" w:fill="FFFFFF"/>
        </w:rPr>
        <w:t>月2</w:t>
      </w:r>
      <w:r>
        <w:rPr>
          <w:rFonts w:hint="eastAsia" w:ascii="仿宋_GB2312" w:hAnsi="仿宋" w:eastAsia="仿宋_GB2312"/>
          <w:color w:val="000000"/>
          <w:sz w:val="32"/>
          <w:szCs w:val="32"/>
          <w:shd w:val="clear" w:color="auto" w:fill="FFFFFF"/>
          <w:lang w:val="en-US" w:eastAsia="zh-CN"/>
        </w:rPr>
        <w:t>8</w:t>
      </w:r>
      <w:r>
        <w:rPr>
          <w:rFonts w:hint="eastAsia" w:ascii="仿宋_GB2312" w:hAnsi="仿宋" w:eastAsia="仿宋_GB2312"/>
          <w:color w:val="000000"/>
          <w:sz w:val="32"/>
          <w:szCs w:val="32"/>
          <w:shd w:val="clear" w:color="auto" w:fill="FFFFFF"/>
        </w:rPr>
        <w:t>日</w:t>
      </w:r>
    </w:p>
    <w:p>
      <w:pPr>
        <w:spacing w:before="156" w:beforeLines="50" w:line="360" w:lineRule="auto"/>
        <w:jc w:val="center"/>
        <w:rPr>
          <w:rFonts w:ascii="仿宋" w:hAnsi="仿宋" w:eastAsia="仿宋"/>
          <w:b/>
          <w:bCs/>
          <w:color w:val="000000"/>
          <w:sz w:val="48"/>
          <w:szCs w:val="48"/>
        </w:rPr>
      </w:pPr>
      <w:r>
        <w:rPr>
          <w:rFonts w:hint="eastAsia" w:ascii="华文中宋" w:hAnsi="华文中宋" w:eastAsia="华文中宋" w:cs="华文中宋"/>
          <w:b w:val="0"/>
          <w:bCs w:val="0"/>
          <w:color w:val="000000"/>
          <w:sz w:val="44"/>
          <w:szCs w:val="44"/>
        </w:rPr>
        <w:t>杭州市工业设计发展“十四五”规划</w:t>
      </w:r>
    </w:p>
    <w:p>
      <w:pPr>
        <w:snapToGrid w:val="0"/>
        <w:spacing w:line="360" w:lineRule="auto"/>
        <w:rPr>
          <w:rFonts w:ascii="仿宋" w:hAnsi="仿宋" w:eastAsia="仿宋"/>
          <w:sz w:val="32"/>
          <w:szCs w:val="32"/>
        </w:rPr>
      </w:pPr>
    </w:p>
    <w:p>
      <w:pPr>
        <w:snapToGrid w:val="0"/>
        <w:spacing w:line="360" w:lineRule="auto"/>
        <w:ind w:firstLine="640" w:firstLineChars="200"/>
        <w:rPr>
          <w:rFonts w:ascii="仿宋" w:hAnsi="仿宋" w:eastAsia="仿宋"/>
          <w:sz w:val="32"/>
          <w:szCs w:val="32"/>
        </w:rPr>
      </w:pPr>
      <w:r>
        <w:rPr>
          <w:rFonts w:ascii="仿宋" w:hAnsi="仿宋" w:eastAsia="仿宋"/>
          <w:sz w:val="32"/>
          <w:szCs w:val="32"/>
        </w:rPr>
        <w:t>工业设计是一种将策略性解决问题的过程应用于产品、系统、服务及体验的创造性活动</w:t>
      </w:r>
      <w:r>
        <w:rPr>
          <w:rFonts w:hint="eastAsia" w:ascii="仿宋" w:hAnsi="仿宋" w:eastAsia="仿宋"/>
          <w:sz w:val="32"/>
          <w:szCs w:val="32"/>
        </w:rPr>
        <w:t>，是引领技术创新、文化创新、商业创新与社会创新，推动产业结构优化升级，满足人民群众美好生活需要的重要力量</w:t>
      </w:r>
      <w:r>
        <w:rPr>
          <w:rFonts w:ascii="仿宋" w:hAnsi="仿宋" w:eastAsia="仿宋"/>
          <w:sz w:val="32"/>
          <w:szCs w:val="32"/>
        </w:rPr>
        <w:t>。</w:t>
      </w:r>
      <w:r>
        <w:rPr>
          <w:rFonts w:hint="eastAsia" w:ascii="仿宋" w:hAnsi="仿宋" w:eastAsia="仿宋"/>
          <w:sz w:val="32"/>
          <w:szCs w:val="32"/>
        </w:rPr>
        <w:t>在杭州市迈进新时代的第一个五年规划期，工业设计势必要在推动供给侧改革与需求侧管理，引领经济高质量发展与构建新发展格局，打造全球先进制造业基地与全球数字经济创新高地的过程中扮演更加重要的角色。为进一步推进杭州市工业设计产业发展，将杭州市打造成为具有全球影响力的工业设计中心城市，特编制本规划。</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规划根据《中共中央国务院关于统一规划体系更好发挥国家发展规划战略导向作用的意见》(中发〔2018〕44号)、十三部门联合印发的《制造业设计能力提升专项行动计划（2019-2022年）》（工信部联产业〔2019〕218号）、十五部门联合印发的《关于进一步促进服务型制造发展的指导意见》（工信部联政法〔2020〕101号）、《浙江省人民政府办公厅关于进一步提升工业设计发展水平的意见》（浙政办发〔2017〕105号）、《关于进一步加快杭州市工业设计发展的指导意见》（杭经信智能〔2018〕165 号）、</w:t>
      </w:r>
      <w:r>
        <w:rPr>
          <w:rFonts w:hint="eastAsia" w:ascii="仿宋" w:hAnsi="仿宋" w:eastAsia="仿宋"/>
          <w:bCs/>
          <w:sz w:val="32"/>
          <w:szCs w:val="32"/>
        </w:rPr>
        <w:t>《中共杭州市委杭州市人民政府关于实施“新制造业计划”推进高质量发展的若干意见》（市委</w:t>
      </w:r>
      <w:r>
        <w:rPr>
          <w:rFonts w:hint="eastAsia" w:ascii="仿宋" w:hAnsi="仿宋" w:eastAsia="仿宋"/>
          <w:sz w:val="32"/>
          <w:szCs w:val="32"/>
        </w:rPr>
        <w:t>〔</w:t>
      </w:r>
      <w:r>
        <w:rPr>
          <w:rFonts w:hint="eastAsia" w:ascii="仿宋" w:hAnsi="仿宋" w:eastAsia="仿宋"/>
          <w:bCs/>
          <w:sz w:val="32"/>
          <w:szCs w:val="32"/>
        </w:rPr>
        <w:t>2019</w:t>
      </w:r>
      <w:r>
        <w:rPr>
          <w:rFonts w:hint="eastAsia" w:ascii="仿宋" w:hAnsi="仿宋" w:eastAsia="仿宋"/>
          <w:sz w:val="32"/>
          <w:szCs w:val="32"/>
        </w:rPr>
        <w:t>〕</w:t>
      </w:r>
      <w:r>
        <w:rPr>
          <w:rFonts w:hint="eastAsia" w:ascii="仿宋" w:hAnsi="仿宋" w:eastAsia="仿宋"/>
          <w:bCs/>
          <w:sz w:val="32"/>
          <w:szCs w:val="32"/>
        </w:rPr>
        <w:t>17号）</w:t>
      </w:r>
      <w:r>
        <w:rPr>
          <w:rFonts w:hint="eastAsia" w:ascii="仿宋" w:hAnsi="仿宋" w:eastAsia="仿宋"/>
          <w:sz w:val="32"/>
          <w:szCs w:val="32"/>
        </w:rPr>
        <w:t>等政策文件进行编制，并与《浙江省产业创新服务综合体建设行动计划》(浙政办发〔2017〕107号）以及杭州市其他产业的“十四五”发展规划相衔接，作为2021～2025年杭州市工业设计发展的纲领性文件。</w:t>
      </w:r>
    </w:p>
    <w:p>
      <w:pPr>
        <w:widowControl/>
        <w:jc w:val="left"/>
        <w:rPr>
          <w:rFonts w:ascii="仿宋" w:hAnsi="仿宋" w:eastAsia="仿宋"/>
          <w:sz w:val="32"/>
          <w:szCs w:val="32"/>
        </w:rPr>
      </w:pPr>
      <w:r>
        <w:rPr>
          <w:rFonts w:ascii="仿宋" w:hAnsi="仿宋" w:eastAsia="仿宋"/>
          <w:sz w:val="32"/>
          <w:szCs w:val="32"/>
        </w:rPr>
        <w:br w:type="page"/>
      </w:r>
    </w:p>
    <w:p>
      <w:pPr>
        <w:pStyle w:val="2"/>
        <w:snapToGrid w:val="0"/>
        <w:spacing w:before="0" w:after="0" w:line="360" w:lineRule="auto"/>
        <w:ind w:firstLine="642" w:firstLineChars="200"/>
        <w:jc w:val="both"/>
        <w:rPr>
          <w:rFonts w:ascii="仿宋" w:hAnsi="仿宋" w:eastAsia="仿宋"/>
          <w:sz w:val="32"/>
          <w:szCs w:val="32"/>
        </w:rPr>
      </w:pPr>
      <w:bookmarkStart w:id="1" w:name="_Toc73953601"/>
      <w:bookmarkStart w:id="2" w:name="_Toc1670632476"/>
      <w:r>
        <w:rPr>
          <w:rFonts w:hint="eastAsia" w:ascii="仿宋" w:hAnsi="仿宋" w:eastAsia="仿宋"/>
          <w:sz w:val="32"/>
          <w:szCs w:val="32"/>
        </w:rPr>
        <w:t>一、现状与形势</w:t>
      </w:r>
      <w:bookmarkEnd w:id="0"/>
      <w:bookmarkEnd w:id="1"/>
      <w:bookmarkEnd w:id="2"/>
    </w:p>
    <w:p>
      <w:pPr>
        <w:pStyle w:val="3"/>
        <w:snapToGrid w:val="0"/>
        <w:spacing w:before="0" w:after="0" w:line="360" w:lineRule="auto"/>
        <w:ind w:firstLine="642" w:firstLineChars="200"/>
        <w:rPr>
          <w:rFonts w:ascii="仿宋" w:hAnsi="仿宋" w:eastAsia="仿宋"/>
        </w:rPr>
      </w:pPr>
      <w:bookmarkStart w:id="3" w:name="_Toc456193106"/>
      <w:bookmarkStart w:id="4" w:name="_Toc73953602"/>
      <w:bookmarkStart w:id="5" w:name="_Toc2118823254"/>
      <w:r>
        <w:rPr>
          <w:rFonts w:hint="eastAsia" w:ascii="仿宋" w:hAnsi="仿宋" w:eastAsia="仿宋"/>
        </w:rPr>
        <w:t>（一）发展现状</w:t>
      </w:r>
      <w:bookmarkEnd w:id="3"/>
      <w:bookmarkEnd w:id="4"/>
      <w:bookmarkEnd w:id="5"/>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十三五”以来，杭州市委市政府认真贯彻落实党中央、国务院的决策部署，把发展工业设计产业作为推动产业结构转型的重要内容，着力完善工业设计产业体系，加速工业设计与信息产业、传统制造业的深度融合，取得了突出的成效，产业整体实力、机构创新能力、平台功能、人才集聚水平等各方面全国领先，并在数字经济与制造业发展“双引擎”驱动下，业态日渐多元丰富，已把杭州建设成为以“设计+数字化”为特色的全国工业设计中心城市。</w:t>
      </w:r>
    </w:p>
    <w:p>
      <w:pPr>
        <w:snapToGrid w:val="0"/>
        <w:spacing w:line="360" w:lineRule="auto"/>
        <w:ind w:firstLine="648"/>
        <w:rPr>
          <w:rFonts w:ascii="仿宋" w:hAnsi="仿宋" w:eastAsia="仿宋"/>
          <w:b/>
          <w:sz w:val="32"/>
          <w:szCs w:val="32"/>
        </w:rPr>
      </w:pPr>
      <w:r>
        <w:rPr>
          <w:rFonts w:hint="eastAsia" w:ascii="仿宋" w:hAnsi="仿宋" w:eastAsia="仿宋"/>
          <w:b/>
          <w:sz w:val="32"/>
          <w:szCs w:val="32"/>
        </w:rPr>
        <w:t>1.产业整体实力持续增长</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杭州市在“十三五”期间加快工业设计产业空间布局，依托各区位突出的文化资源、技术资源、环境资源与产业集聚资源，初步形成“两翼齐飞，多点分布”的格局，北翼为余杭区、拱墅区、临平区，以良渚梦栖小镇、拱墅运河工业设计小镇、临平艺尚小镇为核心，南翼为萧山区、滨江区和钱塘区，以萧山信息港小镇、滨江创意小镇、钱塘大创小镇为核心，在其余区县与当地优势产业融合发展，特色突出，散而不弱。全市工业设计产业发展在近5年呈现出稳中有进、进中提质的发展态势，产业整体实力与北京、上海、深圳、武汉、厦门等城市同处国内工业设计中心城市的“第一方阵”。2020年，在杭州市工商部门登记注册、经营范围中含工业设计、产品设计的企业有9231家。</w:t>
      </w:r>
      <w:r>
        <w:rPr>
          <w:rFonts w:hint="eastAsia" w:ascii="仿宋" w:hAnsi="仿宋" w:eastAsia="仿宋" w:cs="仿宋"/>
          <w:kern w:val="0"/>
          <w:sz w:val="32"/>
          <w:szCs w:val="32"/>
        </w:rPr>
        <w:t>据对市级以上工业设计中心（企业）、基地（园区）调查</w:t>
      </w:r>
      <w:r>
        <w:rPr>
          <w:rFonts w:hint="eastAsia" w:ascii="仿宋" w:hAnsi="仿宋" w:eastAsia="仿宋" w:cs="仿宋"/>
          <w:sz w:val="32"/>
          <w:szCs w:val="32"/>
        </w:rPr>
        <w:t>，</w:t>
      </w:r>
      <w:r>
        <w:rPr>
          <w:rFonts w:hint="eastAsia" w:ascii="仿宋" w:hAnsi="仿宋" w:eastAsia="仿宋"/>
          <w:sz w:val="32"/>
          <w:szCs w:val="32"/>
        </w:rPr>
        <w:t>工业设计服务总收入约</w:t>
      </w:r>
      <w:r>
        <w:rPr>
          <w:rFonts w:ascii="仿宋" w:hAnsi="仿宋" w:eastAsia="仿宋"/>
          <w:sz w:val="32"/>
          <w:szCs w:val="32"/>
        </w:rPr>
        <w:t>40</w:t>
      </w:r>
      <w:r>
        <w:rPr>
          <w:rFonts w:hint="eastAsia" w:ascii="仿宋" w:hAnsi="仿宋" w:eastAsia="仿宋"/>
          <w:sz w:val="32"/>
          <w:szCs w:val="32"/>
        </w:rPr>
        <w:t>亿元，工业设计成果转化产值约</w:t>
      </w:r>
      <w:r>
        <w:rPr>
          <w:rFonts w:ascii="仿宋" w:hAnsi="仿宋" w:eastAsia="仿宋"/>
          <w:sz w:val="32"/>
          <w:szCs w:val="32"/>
        </w:rPr>
        <w:t>3000</w:t>
      </w:r>
      <w:r>
        <w:rPr>
          <w:rFonts w:hint="eastAsia" w:ascii="仿宋" w:hAnsi="仿宋" w:eastAsia="仿宋"/>
          <w:sz w:val="32"/>
          <w:szCs w:val="32"/>
        </w:rPr>
        <w:t>亿元。新产品产值率从2015年的35.2%上升到2020年的 38.8%。各大设计机构获国际顶级设计奖项逐年递增，iF设计奖近三年获奖数分别为2</w:t>
      </w:r>
      <w:r>
        <w:rPr>
          <w:rFonts w:ascii="仿宋" w:hAnsi="仿宋" w:eastAsia="仿宋"/>
          <w:sz w:val="32"/>
          <w:szCs w:val="32"/>
        </w:rPr>
        <w:t>2</w:t>
      </w:r>
      <w:r>
        <w:rPr>
          <w:rFonts w:hint="eastAsia" w:ascii="仿宋" w:hAnsi="仿宋" w:eastAsia="仿宋"/>
          <w:sz w:val="32"/>
          <w:szCs w:val="32"/>
        </w:rPr>
        <w:t>、3</w:t>
      </w:r>
      <w:r>
        <w:rPr>
          <w:rFonts w:ascii="仿宋" w:hAnsi="仿宋" w:eastAsia="仿宋"/>
          <w:sz w:val="32"/>
          <w:szCs w:val="32"/>
        </w:rPr>
        <w:t>8</w:t>
      </w:r>
      <w:r>
        <w:rPr>
          <w:rFonts w:hint="eastAsia" w:ascii="仿宋" w:hAnsi="仿宋" w:eastAsia="仿宋"/>
          <w:sz w:val="32"/>
          <w:szCs w:val="32"/>
        </w:rPr>
        <w:t>、5</w:t>
      </w:r>
      <w:r>
        <w:rPr>
          <w:rFonts w:ascii="仿宋" w:hAnsi="仿宋" w:eastAsia="仿宋"/>
          <w:sz w:val="32"/>
          <w:szCs w:val="32"/>
        </w:rPr>
        <w:t>6</w:t>
      </w:r>
      <w:r>
        <w:rPr>
          <w:rFonts w:hint="eastAsia" w:ascii="仿宋" w:hAnsi="仿宋" w:eastAsia="仿宋"/>
          <w:sz w:val="32"/>
          <w:szCs w:val="32"/>
        </w:rPr>
        <w:t>项。良渚梦栖小镇注册工业设计企业共200余家，集聚项目4</w:t>
      </w:r>
      <w:r>
        <w:rPr>
          <w:rFonts w:ascii="仿宋" w:hAnsi="仿宋" w:eastAsia="仿宋"/>
          <w:sz w:val="32"/>
          <w:szCs w:val="32"/>
        </w:rPr>
        <w:t>76</w:t>
      </w:r>
      <w:r>
        <w:rPr>
          <w:rFonts w:hint="eastAsia" w:ascii="仿宋" w:hAnsi="仿宋" w:eastAsia="仿宋"/>
          <w:sz w:val="32"/>
          <w:szCs w:val="32"/>
        </w:rPr>
        <w:t>个，引进人才3</w:t>
      </w:r>
      <w:r>
        <w:rPr>
          <w:rFonts w:ascii="仿宋" w:hAnsi="仿宋" w:eastAsia="仿宋"/>
          <w:sz w:val="32"/>
          <w:szCs w:val="32"/>
        </w:rPr>
        <w:t>130</w:t>
      </w:r>
      <w:r>
        <w:rPr>
          <w:rFonts w:hint="eastAsia" w:ascii="仿宋" w:hAnsi="仿宋" w:eastAsia="仿宋"/>
          <w:sz w:val="32"/>
          <w:szCs w:val="32"/>
        </w:rPr>
        <w:t>余名，已建成具有标杆意义的工业设计产业集聚区。</w:t>
      </w:r>
    </w:p>
    <w:p>
      <w:pPr>
        <w:snapToGrid w:val="0"/>
        <w:spacing w:line="360" w:lineRule="auto"/>
        <w:ind w:firstLine="648"/>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 </w:t>
      </w:r>
      <w:r>
        <w:rPr>
          <w:rFonts w:hint="eastAsia" w:ascii="仿宋" w:hAnsi="仿宋" w:eastAsia="仿宋"/>
          <w:b/>
          <w:sz w:val="32"/>
          <w:szCs w:val="32"/>
        </w:rPr>
        <w:t>品牌机构能力显著提升</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“十三五”期间，全市新增国家级工业设计中心</w:t>
      </w:r>
      <w:r>
        <w:rPr>
          <w:rFonts w:ascii="仿宋" w:hAnsi="仿宋" w:eastAsia="仿宋"/>
          <w:sz w:val="32"/>
          <w:szCs w:val="32"/>
        </w:rPr>
        <w:t>7</w:t>
      </w:r>
      <w:r>
        <w:rPr>
          <w:rFonts w:hint="eastAsia" w:ascii="仿宋" w:hAnsi="仿宋" w:eastAsia="仿宋"/>
          <w:sz w:val="32"/>
          <w:szCs w:val="32"/>
        </w:rPr>
        <w:t>家，累计8家（表1），总数在全国各大城市中居第三位，新增省级工业设计中心1</w:t>
      </w:r>
      <w:r>
        <w:rPr>
          <w:rFonts w:ascii="仿宋" w:hAnsi="仿宋" w:eastAsia="仿宋"/>
          <w:sz w:val="32"/>
          <w:szCs w:val="32"/>
        </w:rPr>
        <w:t>8</w:t>
      </w:r>
      <w:r>
        <w:rPr>
          <w:rFonts w:hint="eastAsia" w:ascii="仿宋" w:hAnsi="仿宋" w:eastAsia="仿宋"/>
          <w:sz w:val="32"/>
          <w:szCs w:val="32"/>
        </w:rPr>
        <w:t xml:space="preserve">家，累计60家（表2），占全省 </w:t>
      </w:r>
      <w:r>
        <w:rPr>
          <w:rFonts w:ascii="仿宋" w:hAnsi="仿宋" w:eastAsia="仿宋"/>
          <w:sz w:val="32"/>
          <w:szCs w:val="32"/>
        </w:rPr>
        <w:t>22.9%</w:t>
      </w:r>
      <w:r>
        <w:rPr>
          <w:rFonts w:hint="eastAsia" w:ascii="仿宋" w:hAnsi="仿宋" w:eastAsia="仿宋"/>
          <w:sz w:val="32"/>
          <w:szCs w:val="32"/>
        </w:rPr>
        <w:t>。新增</w:t>
      </w:r>
      <w:bookmarkStart w:id="6" w:name="OLE_LINK22"/>
      <w:bookmarkStart w:id="7" w:name="OLE_LINK23"/>
      <w:r>
        <w:rPr>
          <w:rFonts w:hint="eastAsia" w:ascii="仿宋" w:hAnsi="仿宋" w:eastAsia="仿宋"/>
          <w:sz w:val="32"/>
          <w:szCs w:val="32"/>
        </w:rPr>
        <w:t>省级重点企业设计院</w:t>
      </w:r>
      <w:bookmarkEnd w:id="6"/>
      <w:bookmarkEnd w:id="7"/>
      <w:r>
        <w:rPr>
          <w:rFonts w:ascii="仿宋" w:hAnsi="仿宋" w:eastAsia="仿宋"/>
          <w:sz w:val="32"/>
          <w:szCs w:val="32"/>
        </w:rPr>
        <w:t>11</w:t>
      </w:r>
      <w:r>
        <w:rPr>
          <w:rFonts w:hint="eastAsia" w:ascii="仿宋" w:hAnsi="仿宋" w:eastAsia="仿宋"/>
          <w:sz w:val="32"/>
          <w:szCs w:val="32"/>
        </w:rPr>
        <w:t xml:space="preserve">家（表3），占全省 </w:t>
      </w:r>
      <w:r>
        <w:rPr>
          <w:rFonts w:ascii="仿宋" w:hAnsi="仿宋" w:eastAsia="仿宋"/>
          <w:sz w:val="32"/>
          <w:szCs w:val="32"/>
        </w:rPr>
        <w:t>52.4%</w:t>
      </w:r>
      <w:r>
        <w:rPr>
          <w:rFonts w:hint="eastAsia" w:ascii="仿宋" w:hAnsi="仿宋" w:eastAsia="仿宋"/>
          <w:sz w:val="32"/>
          <w:szCs w:val="32"/>
        </w:rPr>
        <w:t>。首批6家浙江省级工业设计研究院中，杭州市占半数。2</w:t>
      </w:r>
      <w:r>
        <w:rPr>
          <w:rFonts w:ascii="仿宋" w:hAnsi="仿宋" w:eastAsia="仿宋"/>
          <w:sz w:val="32"/>
          <w:szCs w:val="32"/>
        </w:rPr>
        <w:t>020</w:t>
      </w:r>
      <w:r>
        <w:rPr>
          <w:rFonts w:hint="eastAsia" w:ascii="仿宋" w:hAnsi="仿宋" w:eastAsia="仿宋"/>
          <w:sz w:val="32"/>
          <w:szCs w:val="32"/>
        </w:rPr>
        <w:t>年1</w:t>
      </w:r>
      <w:r>
        <w:rPr>
          <w:rFonts w:ascii="仿宋" w:hAnsi="仿宋" w:eastAsia="仿宋"/>
          <w:sz w:val="32"/>
          <w:szCs w:val="32"/>
        </w:rPr>
        <w:t>1</w:t>
      </w:r>
      <w:r>
        <w:rPr>
          <w:rFonts w:hint="eastAsia" w:ascii="仿宋" w:hAnsi="仿宋" w:eastAsia="仿宋"/>
          <w:sz w:val="32"/>
          <w:szCs w:val="32"/>
        </w:rPr>
        <w:t>月，国家首个服务型制造研究院落户杭州，率先发力工业设计研究服务体系建设。杭州市设计领军企业明显体现出工业设计与科技深度融合的趋势，设计赋能成效显著。三花新能源国家级工业设计中心设计在新能源汽车热管理系统领域具备了全球领先的研发能力；巨星科技2020年实现工业设计成果转化值18.92亿元；瑞德设计的全球首款方太水槽洗碗机累计销售突破5</w:t>
      </w:r>
      <w:r>
        <w:rPr>
          <w:rFonts w:ascii="仿宋" w:hAnsi="仿宋" w:eastAsia="仿宋"/>
          <w:sz w:val="32"/>
          <w:szCs w:val="32"/>
        </w:rPr>
        <w:t>0</w:t>
      </w:r>
      <w:r>
        <w:rPr>
          <w:rFonts w:hint="eastAsia" w:ascii="仿宋" w:hAnsi="仿宋" w:eastAsia="仿宋"/>
          <w:sz w:val="32"/>
          <w:szCs w:val="32"/>
        </w:rPr>
        <w:t>亿元，成为工业设计的成功标杆案例。</w:t>
      </w:r>
    </w:p>
    <w:p>
      <w:pPr>
        <w:snapToGrid w:val="0"/>
        <w:spacing w:line="360" w:lineRule="auto"/>
        <w:ind w:firstLine="648"/>
        <w:rPr>
          <w:rFonts w:ascii="仿宋" w:hAnsi="仿宋" w:eastAsia="仿宋"/>
          <w:b/>
          <w:sz w:val="32"/>
          <w:szCs w:val="32"/>
        </w:rPr>
      </w:pPr>
      <w:r>
        <w:rPr>
          <w:rFonts w:hint="eastAsia" w:ascii="仿宋" w:hAnsi="仿宋" w:eastAsia="仿宋"/>
          <w:b/>
          <w:sz w:val="32"/>
          <w:szCs w:val="32"/>
        </w:rPr>
        <w:t>3.商业模式与产业生态日趋丰富</w:t>
      </w:r>
    </w:p>
    <w:p>
      <w:pPr>
        <w:snapToGrid w:val="0"/>
        <w:spacing w:line="360" w:lineRule="auto"/>
        <w:ind w:firstLine="640" w:firstLineChars="200"/>
        <w:rPr>
          <w:rFonts w:ascii="仿宋" w:hAnsi="仿宋" w:eastAsia="仿宋"/>
          <w:bCs/>
          <w:sz w:val="32"/>
          <w:szCs w:val="32"/>
        </w:rPr>
      </w:pPr>
      <w:r>
        <w:rPr>
          <w:rFonts w:hint="eastAsia" w:ascii="仿宋" w:hAnsi="仿宋" w:eastAsia="仿宋"/>
          <w:bCs/>
          <w:sz w:val="32"/>
          <w:szCs w:val="32"/>
        </w:rPr>
        <w:t>设计企业紧抓创新创业高质量发展的契机，不断开拓新商业模式，形成“设计+品牌培育”、“设计+创客孵化”、“设计+电商联动”、“设计+产业链协同”等多元业态，成为全国探索与输出设计创新模式的重要阵地。</w:t>
      </w:r>
      <w:r>
        <w:rPr>
          <w:rFonts w:hint="eastAsia" w:ascii="仿宋" w:hAnsi="仿宋" w:eastAsia="仿宋"/>
          <w:sz w:val="32"/>
          <w:szCs w:val="32"/>
          <w:shd w:val="clear" w:color="auto" w:fill="FFFFFF"/>
        </w:rPr>
        <w:t>其中，瑞德的自主孵化的品牌“缤兔”</w:t>
      </w:r>
      <w:r>
        <w:rPr>
          <w:rFonts w:hint="eastAsia" w:ascii="仿宋" w:hAnsi="仿宋" w:eastAsia="仿宋" w:cs="宋体"/>
          <w:bCs/>
          <w:kern w:val="0"/>
          <w:sz w:val="32"/>
          <w:szCs w:val="32"/>
        </w:rPr>
        <w:t>成为美妆冰箱品类的第一品牌</w:t>
      </w:r>
      <w:r>
        <w:rPr>
          <w:rFonts w:hint="eastAsia" w:ascii="仿宋" w:hAnsi="仿宋" w:eastAsia="仿宋"/>
          <w:sz w:val="32"/>
          <w:szCs w:val="32"/>
          <w:shd w:val="clear" w:color="auto" w:fill="FFFFFF"/>
        </w:rPr>
        <w:t>。斯帕克创办的全省首个以工业设计为核心的创客空间累计出孵企业23家，“大设计服务+项目孵化”的平台模式已见成效。博乐在天猫推出首个设计驱动型卖场型集合店，成为探索“互联网+”模式的设计驱动型品牌生态的典型范例。源骏设计打造的“创新外脑”个性化创意定制服务平台，实现了设计创意与制造商的精准对接。</w:t>
      </w:r>
    </w:p>
    <w:p>
      <w:pPr>
        <w:snapToGrid w:val="0"/>
        <w:spacing w:line="360" w:lineRule="auto"/>
        <w:ind w:firstLine="648"/>
        <w:rPr>
          <w:rFonts w:ascii="仿宋" w:hAnsi="仿宋" w:eastAsia="仿宋"/>
          <w:b/>
          <w:sz w:val="32"/>
          <w:szCs w:val="32"/>
        </w:rPr>
      </w:pPr>
      <w:r>
        <w:rPr>
          <w:rFonts w:hint="eastAsia" w:ascii="仿宋" w:hAnsi="仿宋" w:eastAsia="仿宋"/>
          <w:b/>
          <w:sz w:val="32"/>
          <w:szCs w:val="32"/>
        </w:rPr>
        <w:t>4.行业平台功能齐全强大</w:t>
      </w:r>
    </w:p>
    <w:p>
      <w:pPr>
        <w:ind w:firstLine="640" w:firstLineChars="200"/>
        <w:rPr>
          <w:rFonts w:ascii="仿宋" w:hAnsi="仿宋" w:eastAsia="仿宋"/>
          <w:sz w:val="32"/>
          <w:szCs w:val="32"/>
        </w:rPr>
      </w:pPr>
      <w:r>
        <w:rPr>
          <w:rFonts w:hint="eastAsia" w:ascii="仿宋" w:hAnsi="仿宋" w:eastAsia="仿宋"/>
          <w:sz w:val="32"/>
          <w:szCs w:val="32"/>
        </w:rPr>
        <w:t>杭州市积极健全工业设计行业平台功能，会议、赛事、协作网络、载体网络全面发展，“杭州设计”的辐射带动作用与国际影响力显著提升。“十三五”期间，第一届与第二届世界工业设计大会在梦栖小镇召开，全球16个国际设计协会与组织在首届大会上签署了工业设计合作框架备忘录，使梦栖小镇成为全球创意网络的重要节点。中国美术学院主办的DIA中国设计智造大奖是中国工业设计领域首个国际化的学院奖，已成长为国际一流的设计赛事。飞鱼、凸凹、圣奥、老板、泰普森、顾家等龙头企业在长三角地区其他城市及境外多地设立设计部门，以杭州为总部的区域化、国际化设计协作平台日渐成型。在全域化、开放式、全要素的创新载体布局下，杭州市已形成包括良渚梦栖工业设计小镇、拱墅运河工业设计小镇等省市两级特色小镇以及经纬国际创意产业园、圣泓工业设计创意园、汇林科技创意园等工业设计基地园区的多层次、多节点创新载体网络。</w:t>
      </w:r>
    </w:p>
    <w:p>
      <w:pPr>
        <w:snapToGrid w:val="0"/>
        <w:spacing w:line="360" w:lineRule="auto"/>
        <w:ind w:firstLine="648"/>
        <w:rPr>
          <w:rFonts w:ascii="仿宋" w:hAnsi="仿宋" w:eastAsia="仿宋"/>
          <w:b/>
          <w:sz w:val="32"/>
          <w:szCs w:val="32"/>
        </w:rPr>
      </w:pPr>
      <w:r>
        <w:rPr>
          <w:rFonts w:hint="eastAsia" w:ascii="仿宋" w:hAnsi="仿宋" w:eastAsia="仿宋"/>
          <w:b/>
          <w:sz w:val="32"/>
          <w:szCs w:val="32"/>
        </w:rPr>
        <w:tab/>
      </w:r>
      <w:r>
        <w:rPr>
          <w:rFonts w:hint="eastAsia" w:ascii="仿宋" w:hAnsi="仿宋" w:eastAsia="仿宋"/>
          <w:b/>
          <w:sz w:val="32"/>
          <w:szCs w:val="32"/>
        </w:rPr>
        <w:t xml:space="preserve"> 5.人才集聚工作成效明显</w:t>
      </w:r>
    </w:p>
    <w:p>
      <w:pPr>
        <w:ind w:firstLine="640" w:firstLineChars="200"/>
        <w:rPr>
          <w:rFonts w:ascii="仿宋" w:hAnsi="仿宋" w:eastAsia="仿宋"/>
          <w:kern w:val="0"/>
          <w:sz w:val="32"/>
          <w:szCs w:val="32"/>
        </w:rPr>
      </w:pPr>
      <w:r>
        <w:rPr>
          <w:rFonts w:hint="eastAsia" w:ascii="仿宋" w:hAnsi="仿宋" w:eastAsia="仿宋"/>
          <w:kern w:val="0"/>
          <w:sz w:val="32"/>
          <w:szCs w:val="32"/>
        </w:rPr>
        <w:t>“十三五”期间，杭州市集聚了一批工业设计高端人才，共有</w:t>
      </w:r>
      <w:r>
        <w:rPr>
          <w:rFonts w:ascii="仿宋" w:hAnsi="仿宋" w:eastAsia="仿宋"/>
          <w:kern w:val="0"/>
          <w:sz w:val="32"/>
          <w:szCs w:val="32"/>
        </w:rPr>
        <w:t>7</w:t>
      </w:r>
      <w:r>
        <w:rPr>
          <w:rFonts w:hint="eastAsia" w:ascii="仿宋" w:hAnsi="仿宋" w:eastAsia="仿宋"/>
          <w:kern w:val="0"/>
          <w:sz w:val="32"/>
          <w:szCs w:val="32"/>
        </w:rPr>
        <w:t>人获光华龙腾奖·中国设计业十大杰出青年称号（表</w:t>
      </w:r>
      <w:r>
        <w:rPr>
          <w:rFonts w:ascii="仿宋" w:hAnsi="仿宋" w:eastAsia="仿宋"/>
          <w:kern w:val="0"/>
          <w:sz w:val="32"/>
          <w:szCs w:val="32"/>
        </w:rPr>
        <w:t>4</w:t>
      </w:r>
      <w:r>
        <w:rPr>
          <w:rFonts w:hint="eastAsia" w:ascii="仿宋" w:hAnsi="仿宋" w:eastAsia="仿宋"/>
          <w:kern w:val="0"/>
          <w:sz w:val="32"/>
          <w:szCs w:val="32"/>
        </w:rPr>
        <w:t>），4人获光华龙腾奖·中国服务设计业十大杰出青年称号，分别在全国所有城市中居第2位和第3位。瑞德设计的晋常宝、博乐设计的</w:t>
      </w:r>
      <w:bookmarkStart w:id="8" w:name="OLE_LINK71"/>
      <w:bookmarkStart w:id="9" w:name="OLE_LINK70"/>
      <w:r>
        <w:rPr>
          <w:rFonts w:hint="eastAsia" w:ascii="仿宋" w:hAnsi="仿宋" w:eastAsia="仿宋"/>
          <w:kern w:val="0"/>
          <w:sz w:val="32"/>
          <w:szCs w:val="32"/>
        </w:rPr>
        <w:t>沧泠</w:t>
      </w:r>
      <w:bookmarkEnd w:id="8"/>
      <w:bookmarkEnd w:id="9"/>
      <w:r>
        <w:rPr>
          <w:rFonts w:hint="eastAsia" w:ascii="仿宋" w:hAnsi="仿宋" w:eastAsia="仿宋"/>
          <w:kern w:val="0"/>
          <w:sz w:val="32"/>
          <w:szCs w:val="32"/>
        </w:rPr>
        <w:t>等入选德国</w:t>
      </w:r>
      <w:r>
        <w:rPr>
          <w:rFonts w:hint="eastAsia" w:ascii="仿宋" w:hAnsi="仿宋" w:eastAsia="仿宋"/>
          <w:kern w:val="0"/>
          <w:sz w:val="32"/>
          <w:szCs w:val="32"/>
          <w:lang w:eastAsia="zh-Hans"/>
        </w:rPr>
        <w:t>i</w:t>
      </w:r>
      <w:r>
        <w:rPr>
          <w:rFonts w:hint="eastAsia" w:ascii="仿宋" w:hAnsi="仿宋" w:eastAsia="仿宋"/>
          <w:kern w:val="0"/>
          <w:sz w:val="32"/>
          <w:szCs w:val="32"/>
        </w:rPr>
        <w:t>F大奖评委。杭州市持续开展工业设计精英人物的评选活动，评选出125位工业设计精英人物，认定为杭州市高层次E类人才共46人。工业设计职业资格考试合格人员占全省近50%，其中，高级工业设计师合格人数共1</w:t>
      </w:r>
      <w:r>
        <w:rPr>
          <w:rFonts w:ascii="仿宋" w:hAnsi="仿宋" w:eastAsia="仿宋"/>
          <w:kern w:val="0"/>
          <w:sz w:val="32"/>
          <w:szCs w:val="32"/>
        </w:rPr>
        <w:t>02</w:t>
      </w:r>
      <w:r>
        <w:rPr>
          <w:rFonts w:hint="eastAsia" w:ascii="仿宋" w:hAnsi="仿宋" w:eastAsia="仿宋"/>
          <w:kern w:val="0"/>
          <w:sz w:val="32"/>
          <w:szCs w:val="32"/>
        </w:rPr>
        <w:t>人、中级工业设计师合格人数共</w:t>
      </w:r>
      <w:r>
        <w:rPr>
          <w:rFonts w:ascii="仿宋" w:hAnsi="仿宋" w:eastAsia="仿宋"/>
          <w:kern w:val="0"/>
          <w:sz w:val="32"/>
          <w:szCs w:val="32"/>
        </w:rPr>
        <w:t>293</w:t>
      </w:r>
      <w:r>
        <w:rPr>
          <w:rFonts w:hint="eastAsia" w:ascii="仿宋" w:hAnsi="仿宋" w:eastAsia="仿宋"/>
          <w:kern w:val="0"/>
          <w:sz w:val="32"/>
          <w:szCs w:val="32"/>
        </w:rPr>
        <w:t>人，初级工业设计师合格人数</w:t>
      </w:r>
      <w:r>
        <w:rPr>
          <w:rFonts w:ascii="仿宋" w:hAnsi="仿宋" w:eastAsia="仿宋"/>
          <w:kern w:val="0"/>
          <w:sz w:val="32"/>
          <w:szCs w:val="32"/>
        </w:rPr>
        <w:t>198</w:t>
      </w:r>
      <w:r>
        <w:rPr>
          <w:rFonts w:hint="eastAsia" w:ascii="仿宋" w:hAnsi="仿宋" w:eastAsia="仿宋"/>
          <w:kern w:val="0"/>
          <w:sz w:val="32"/>
          <w:szCs w:val="32"/>
        </w:rPr>
        <w:t>人。据对杭州市主要本地高校工业设计（产品设计）专业的调查，约</w:t>
      </w:r>
      <w:r>
        <w:rPr>
          <w:rFonts w:ascii="仿宋" w:hAnsi="仿宋" w:eastAsia="仿宋"/>
          <w:kern w:val="0"/>
          <w:sz w:val="32"/>
          <w:szCs w:val="32"/>
        </w:rPr>
        <w:t>60%</w:t>
      </w:r>
      <w:r>
        <w:rPr>
          <w:rFonts w:hint="eastAsia" w:ascii="仿宋" w:hAnsi="仿宋" w:eastAsia="仿宋"/>
          <w:kern w:val="0"/>
          <w:sz w:val="32"/>
          <w:szCs w:val="32"/>
        </w:rPr>
        <w:t>的毕业生留杭发展。工业设计人才的梯队建设稳步推进。</w:t>
      </w:r>
    </w:p>
    <w:p>
      <w:pPr>
        <w:snapToGrid w:val="0"/>
        <w:spacing w:line="360" w:lineRule="auto"/>
        <w:ind w:firstLine="648"/>
        <w:rPr>
          <w:rFonts w:ascii="仿宋" w:hAnsi="仿宋" w:eastAsia="仿宋"/>
          <w:b/>
          <w:sz w:val="32"/>
          <w:szCs w:val="32"/>
        </w:rPr>
      </w:pPr>
      <w:r>
        <w:rPr>
          <w:rFonts w:hint="eastAsia" w:ascii="仿宋" w:hAnsi="仿宋" w:eastAsia="仿宋"/>
          <w:b/>
          <w:sz w:val="32"/>
          <w:szCs w:val="32"/>
        </w:rPr>
        <w:t>6</w:t>
      </w:r>
      <w:r>
        <w:rPr>
          <w:rFonts w:ascii="仿宋" w:hAnsi="仿宋" w:eastAsia="仿宋"/>
          <w:b/>
          <w:sz w:val="32"/>
          <w:szCs w:val="32"/>
        </w:rPr>
        <w:t xml:space="preserve">. </w:t>
      </w:r>
      <w:r>
        <w:rPr>
          <w:rFonts w:hint="eastAsia" w:ascii="仿宋" w:hAnsi="仿宋" w:eastAsia="仿宋"/>
          <w:b/>
          <w:sz w:val="32"/>
          <w:szCs w:val="32"/>
        </w:rPr>
        <w:t>“设计+数字化”发展趋势明显</w:t>
      </w:r>
    </w:p>
    <w:p>
      <w:pPr>
        <w:ind w:firstLine="640" w:firstLineChars="200"/>
        <w:rPr>
          <w:rFonts w:ascii="仿宋" w:hAnsi="仿宋" w:eastAsia="仿宋"/>
          <w:bCs/>
          <w:sz w:val="32"/>
          <w:szCs w:val="32"/>
        </w:rPr>
      </w:pPr>
      <w:r>
        <w:rPr>
          <w:rFonts w:hint="eastAsia" w:ascii="仿宋" w:hAnsi="仿宋" w:eastAsia="仿宋"/>
          <w:bCs/>
          <w:sz w:val="32"/>
          <w:szCs w:val="32"/>
        </w:rPr>
        <w:t>杭州市瞄准数字经济发展的重大机遇窗口，积极推进数字产业与工业设计产业融合发展，提升工业设计的服务能级，激活数字经济新业态，涌现出远算科技、数联中国、新迪数字、酷家乐等一批优秀的设计软件供应商和数字化平台企业（表</w:t>
      </w:r>
      <w:r>
        <w:rPr>
          <w:rFonts w:ascii="仿宋" w:hAnsi="仿宋" w:eastAsia="仿宋"/>
          <w:bCs/>
          <w:sz w:val="32"/>
          <w:szCs w:val="32"/>
        </w:rPr>
        <w:t>5</w:t>
      </w:r>
      <w:r>
        <w:rPr>
          <w:rFonts w:hint="eastAsia" w:ascii="仿宋" w:hAnsi="仿宋" w:eastAsia="仿宋"/>
          <w:bCs/>
          <w:sz w:val="32"/>
          <w:szCs w:val="32"/>
        </w:rPr>
        <w:t>）。 其中，“阿里云工业数字孪生”</w:t>
      </w:r>
      <w:r>
        <w:rPr>
          <w:rFonts w:hint="eastAsia"/>
        </w:rPr>
        <w:t xml:space="preserve"> </w:t>
      </w:r>
      <w:r>
        <w:rPr>
          <w:rFonts w:hint="eastAsia" w:ascii="仿宋" w:hAnsi="仿宋" w:eastAsia="仿宋"/>
          <w:bCs/>
          <w:sz w:val="32"/>
          <w:szCs w:val="32"/>
        </w:rPr>
        <w:t>通过3D建模、虚拟仿真等先进技术实现了工厂全面精准的数字可视化，拓展了设计服务的新功能和新领域。根据《2</w:t>
      </w:r>
      <w:r>
        <w:rPr>
          <w:rFonts w:ascii="仿宋" w:hAnsi="仿宋" w:eastAsia="仿宋"/>
          <w:bCs/>
          <w:sz w:val="32"/>
          <w:szCs w:val="32"/>
        </w:rPr>
        <w:t>019</w:t>
      </w:r>
      <w:r>
        <w:rPr>
          <w:rFonts w:hint="eastAsia" w:ascii="仿宋" w:hAnsi="仿宋" w:eastAsia="仿宋"/>
          <w:bCs/>
          <w:sz w:val="32"/>
          <w:szCs w:val="32"/>
        </w:rPr>
        <w:t>年先进制造业城市发展指数》报告，杭州凭借信息技术的广泛应用与服务业结构的优化升级，多领域融合指标在全国城市中排名第2位。</w:t>
      </w:r>
    </w:p>
    <w:p>
      <w:pPr>
        <w:pStyle w:val="3"/>
        <w:snapToGrid w:val="0"/>
        <w:spacing w:before="0" w:after="0" w:line="360" w:lineRule="auto"/>
        <w:ind w:firstLine="481" w:firstLineChars="150"/>
        <w:rPr>
          <w:rFonts w:ascii="仿宋" w:hAnsi="仿宋" w:eastAsia="仿宋"/>
        </w:rPr>
      </w:pPr>
      <w:bookmarkStart w:id="10" w:name="_Toc456193107"/>
      <w:bookmarkStart w:id="11" w:name="_Toc73953603"/>
      <w:bookmarkStart w:id="12" w:name="_Toc1488595424"/>
      <w:r>
        <w:rPr>
          <w:rFonts w:hint="eastAsia" w:ascii="仿宋" w:hAnsi="仿宋" w:eastAsia="仿宋"/>
        </w:rPr>
        <w:t>（二）存在问题</w:t>
      </w:r>
      <w:bookmarkEnd w:id="10"/>
      <w:bookmarkEnd w:id="11"/>
      <w:bookmarkEnd w:id="12"/>
    </w:p>
    <w:p>
      <w:pPr>
        <w:snapToGrid w:val="0"/>
        <w:spacing w:line="360" w:lineRule="auto"/>
        <w:ind w:firstLine="648"/>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行业整体规模不大，企业国际竞争力不足</w:t>
      </w:r>
    </w:p>
    <w:p>
      <w:pPr>
        <w:snapToGrid w:val="0"/>
        <w:spacing w:line="360" w:lineRule="auto"/>
        <w:ind w:firstLine="648"/>
        <w:rPr>
          <w:rFonts w:ascii="仿宋" w:hAnsi="仿宋" w:eastAsia="仿宋"/>
          <w:sz w:val="32"/>
          <w:szCs w:val="32"/>
        </w:rPr>
      </w:pPr>
      <w:r>
        <w:rPr>
          <w:rFonts w:hint="eastAsia" w:ascii="仿宋" w:hAnsi="仿宋" w:eastAsia="仿宋"/>
          <w:sz w:val="32"/>
          <w:szCs w:val="32"/>
        </w:rPr>
        <w:t>近年来，杭州制造业外迁一定程度导致本地设计业务量增长缓慢，对设计行业规模持续壮大造成了不利影响。根据现有的测算方法，行业整体规模距离百亿级产业集群的目标仍有距离。龙头骨干企业的实力与国际顶尖设计企业相比尚显不足，缺少具有突出国际影响力的标志性设计成果，设计“走出去”仍需努力。</w:t>
      </w:r>
    </w:p>
    <w:p>
      <w:pPr>
        <w:snapToGrid w:val="0"/>
        <w:spacing w:line="360" w:lineRule="auto"/>
        <w:ind w:firstLine="648"/>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人才面临结构性短缺，育人体系亟待完善</w:t>
      </w:r>
    </w:p>
    <w:p>
      <w:pPr>
        <w:snapToGrid w:val="0"/>
        <w:spacing w:line="360" w:lineRule="auto"/>
        <w:ind w:firstLine="648"/>
        <w:rPr>
          <w:rFonts w:ascii="仿宋" w:hAnsi="仿宋" w:eastAsia="仿宋"/>
          <w:b/>
          <w:sz w:val="32"/>
          <w:szCs w:val="32"/>
        </w:rPr>
      </w:pPr>
      <w:r>
        <w:rPr>
          <w:rFonts w:hint="eastAsia" w:ascii="仿宋" w:hAnsi="仿宋" w:eastAsia="仿宋"/>
          <w:sz w:val="32"/>
          <w:szCs w:val="32"/>
        </w:rPr>
        <w:t>行业规模持续增长与新一轮科技革命对工业设计人才在质与量上提出了新的要求。设计企业与机构对熟悉战略性新兴技术平台与新商业运营模式、具备国际视野的复合型设计人才需求量持续增长，而企业与高校院所的合作育人机制仍未健全，适应未来产业的创新型设计人才仍存在较大缺口。</w:t>
      </w:r>
    </w:p>
    <w:p>
      <w:pPr>
        <w:snapToGrid w:val="0"/>
        <w:spacing w:line="360" w:lineRule="auto"/>
        <w:ind w:firstLine="648"/>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公共服务体系不健全，协同创新环境不完善</w:t>
      </w:r>
      <w:r>
        <w:rPr>
          <w:rFonts w:ascii="仿宋" w:hAnsi="仿宋" w:eastAsia="仿宋"/>
          <w:b/>
          <w:sz w:val="32"/>
          <w:szCs w:val="32"/>
        </w:rPr>
        <w:t xml:space="preserve"> </w:t>
      </w:r>
    </w:p>
    <w:p>
      <w:pPr>
        <w:snapToGrid w:val="0"/>
        <w:spacing w:line="360" w:lineRule="auto"/>
        <w:ind w:firstLine="648"/>
        <w:rPr>
          <w:rFonts w:ascii="仿宋" w:hAnsi="仿宋" w:eastAsia="仿宋"/>
          <w:sz w:val="32"/>
          <w:szCs w:val="32"/>
        </w:rPr>
      </w:pPr>
      <w:r>
        <w:rPr>
          <w:rFonts w:hint="eastAsia" w:ascii="仿宋" w:hAnsi="仿宋" w:eastAsia="仿宋"/>
          <w:sz w:val="32"/>
          <w:szCs w:val="32"/>
        </w:rPr>
        <w:t>在基础研发、设备共享、数据共享、检验检测、成果交易与转化等方面杭州市仍缺乏综合性的公共服务平台，资源汇聚程度与服务能力不足，设计创新服务网络仍未建立，造成中小微设计企业享用公共服务资源不充分，产学研协同创新的合作深度不足等问题。</w:t>
      </w:r>
    </w:p>
    <w:p>
      <w:pPr>
        <w:snapToGrid w:val="0"/>
        <w:spacing w:line="360" w:lineRule="auto"/>
        <w:ind w:firstLine="648"/>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 xml:space="preserve"> </w:t>
      </w:r>
      <w:r>
        <w:rPr>
          <w:rFonts w:hint="eastAsia" w:ascii="仿宋" w:hAnsi="仿宋" w:eastAsia="仿宋"/>
          <w:b/>
          <w:sz w:val="32"/>
          <w:szCs w:val="32"/>
        </w:rPr>
        <w:t>制造企业创新意识不强，知识产权管理机制不成熟</w:t>
      </w:r>
      <w:r>
        <w:rPr>
          <w:rFonts w:ascii="仿宋" w:hAnsi="仿宋" w:eastAsia="仿宋"/>
          <w:b/>
          <w:sz w:val="32"/>
          <w:szCs w:val="32"/>
        </w:rPr>
        <w:t xml:space="preserve"> </w:t>
      </w:r>
    </w:p>
    <w:p>
      <w:pPr>
        <w:snapToGrid w:val="0"/>
        <w:spacing w:line="360" w:lineRule="auto"/>
        <w:ind w:firstLine="648"/>
        <w:rPr>
          <w:rFonts w:ascii="仿宋" w:hAnsi="仿宋" w:eastAsia="仿宋"/>
          <w:sz w:val="32"/>
          <w:szCs w:val="32"/>
        </w:rPr>
      </w:pPr>
      <w:r>
        <w:rPr>
          <w:rFonts w:hint="eastAsia" w:ascii="仿宋" w:hAnsi="仿宋" w:eastAsia="仿宋"/>
          <w:sz w:val="32"/>
          <w:szCs w:val="32"/>
        </w:rPr>
        <w:t>大量制造企业仍持有“吸收-消化-修改”的设计观念，缺乏对原创性、系统性、战略性设计的价值认同，导致回报周期较长的基础研究不足，底层设计创新缺乏，工业设计从产品级创新向服务级创新的范式转换进展迟缓。此外，工业设计知识产权审核周期长，维权成本高等问题持续存在，行业竞争秩序亟待改善。</w:t>
      </w:r>
    </w:p>
    <w:p>
      <w:pPr>
        <w:pStyle w:val="3"/>
        <w:snapToGrid w:val="0"/>
        <w:spacing w:before="0" w:after="0" w:line="360" w:lineRule="auto"/>
        <w:ind w:firstLine="481" w:firstLineChars="150"/>
        <w:rPr>
          <w:rFonts w:ascii="仿宋" w:hAnsi="仿宋" w:eastAsia="仿宋"/>
        </w:rPr>
      </w:pPr>
      <w:bookmarkStart w:id="13" w:name="_Toc456193108"/>
      <w:bookmarkStart w:id="14" w:name="_Toc73953604"/>
      <w:bookmarkStart w:id="15" w:name="_Toc638803618"/>
      <w:r>
        <w:rPr>
          <w:rFonts w:hint="eastAsia" w:ascii="仿宋" w:hAnsi="仿宋" w:eastAsia="仿宋"/>
        </w:rPr>
        <w:t>（三）机遇与挑战</w:t>
      </w:r>
      <w:bookmarkEnd w:id="13"/>
      <w:bookmarkEnd w:id="14"/>
      <w:bookmarkEnd w:id="15"/>
    </w:p>
    <w:p>
      <w:pPr>
        <w:autoSpaceDE w:val="0"/>
        <w:autoSpaceDN w:val="0"/>
        <w:adjustRightInd w:val="0"/>
        <w:snapToGrid w:val="0"/>
        <w:spacing w:line="360" w:lineRule="auto"/>
        <w:rPr>
          <w:rFonts w:ascii="仿宋" w:hAnsi="仿宋" w:eastAsia="仿宋"/>
          <w:color w:val="000000"/>
          <w:sz w:val="32"/>
          <w:szCs w:val="32"/>
        </w:rPr>
      </w:pPr>
      <w:r>
        <w:rPr>
          <w:rFonts w:hint="eastAsia" w:ascii="仿宋" w:hAnsi="仿宋" w:eastAsia="仿宋"/>
          <w:color w:val="000000"/>
          <w:sz w:val="32"/>
          <w:szCs w:val="32"/>
        </w:rPr>
        <w:tab/>
      </w:r>
      <w:r>
        <w:rPr>
          <w:rFonts w:hint="eastAsia" w:ascii="仿宋" w:hAnsi="仿宋" w:eastAsia="仿宋"/>
          <w:color w:val="000000"/>
          <w:sz w:val="32"/>
          <w:szCs w:val="32"/>
        </w:rPr>
        <w:t>“十四五”是开启全面建设社会主义现代化国家新征程的第一个五年规划期，</w:t>
      </w:r>
      <w:bookmarkStart w:id="16" w:name="_Hlk60679612"/>
      <w:r>
        <w:rPr>
          <w:rFonts w:hint="eastAsia" w:ascii="仿宋" w:hAnsi="仿宋" w:eastAsia="仿宋"/>
          <w:color w:val="000000"/>
          <w:sz w:val="32"/>
          <w:szCs w:val="32"/>
        </w:rPr>
        <w:t>面临着新矛盾、新问题、新目标、新任务，具有继往开来的里程碑意义。近年来，我国提前布局，已将发展工业设计产业放到了更高的战略地位。工业与信息化部等十三部委联合印发的《关于印发制造业设计能力提升专项行动计划（2019-2022年）的通知》（工信部联产业〔2019〕218号）将“提高工业设计基础研究能力和公共服务水平”列为重要目标，国家十五部委印发的《关于进一步促进服务型制造发展的指导意见》（工信部联政法〔2020〕101号）中将工业设计列为服务型制造的重要方向。</w:t>
      </w:r>
      <w:bookmarkEnd w:id="16"/>
      <w:r>
        <w:rPr>
          <w:rFonts w:hint="eastAsia" w:ascii="仿宋" w:hAnsi="仿宋" w:eastAsia="仿宋"/>
          <w:color w:val="000000"/>
          <w:sz w:val="32"/>
          <w:szCs w:val="32"/>
        </w:rPr>
        <w:t>在新发展阶段，为推动经济社会高质量发展，巩固提升全面建成小康社会的成果，构建“双循环”发展格局，进一步满足人们日益增长的“美好生活需要”，工业设计势必会发挥更加关键的作用。</w:t>
      </w:r>
    </w:p>
    <w:p>
      <w:pPr>
        <w:autoSpaceDE w:val="0"/>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杭州市是中国互联网的“领跑者”，是全国电子商务的诞生地，工业互联网与工厂物联网建设全国领先；杭州拥有一支以民营为特色的龙头企业，民营企业500强上榜数长期居全国首位；杭州创业创新生态圈比较发达，平均每天诞生109个有效发明专利；杭州生产性服务业发达，位居全球金融科技中心“第一梯队”，新兴金融业态不断涌现。这都是杭州市工业设计产业发展的核心优势。同时，杭州市正在全力打造全国数字经济第一城，提前布局数字驱动下的未来产业；抓紧实施“新制造业计划”，推进制造业新旧融合、动能接续；加快融入长三角一体化发展，打造区域创新高地，这些都为杭州市工业设计产业的发展带来了更大的机遇，在与兄弟城市的竞争中具备特色优势。</w:t>
      </w:r>
    </w:p>
    <w:p>
      <w:pPr>
        <w:autoSpaceDE w:val="0"/>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同时，工业设计的产业发展环境面临深刻的变化。人工智能、大数据、虚拟现实技术、云计算为工业设计活动提供了新的工具平台和需求分析平台；工业互联网与工厂互联网为设计企业与机构提供了新的协作平台；新零售、直播电商等方式改变了设计服务的商业生态与终端环境；数字化快速成型、3D打印应用提供了工业设计新的实现手段；碳达峰碳中和的宏伟目标、人口老龄化进一步深化对工业设计提出了新的任务。传统的工业设计思维、方法、组织、业态难以适应新的发展格局，杭州市的工业设计产业只有向智能化、数字化、网络化、绿色化加速发展，才能应对时代赋予的挑战。</w:t>
      </w:r>
    </w:p>
    <w:p>
      <w:pPr>
        <w:pStyle w:val="2"/>
        <w:snapToGrid w:val="0"/>
        <w:spacing w:before="0" w:after="0" w:line="360" w:lineRule="auto"/>
        <w:ind w:firstLine="642" w:firstLineChars="200"/>
        <w:jc w:val="both"/>
        <w:rPr>
          <w:rFonts w:ascii="仿宋" w:hAnsi="仿宋" w:eastAsia="仿宋"/>
          <w:sz w:val="32"/>
          <w:szCs w:val="32"/>
        </w:rPr>
      </w:pPr>
      <w:bookmarkStart w:id="17" w:name="_Toc73953605"/>
      <w:bookmarkStart w:id="18" w:name="_Toc456193109"/>
      <w:bookmarkStart w:id="19" w:name="_Toc1101656373"/>
      <w:r>
        <w:rPr>
          <w:rFonts w:hint="eastAsia" w:ascii="仿宋" w:hAnsi="仿宋" w:eastAsia="仿宋"/>
          <w:sz w:val="32"/>
          <w:szCs w:val="32"/>
        </w:rPr>
        <w:t>二、总体要求和发展目标</w:t>
      </w:r>
      <w:bookmarkEnd w:id="17"/>
      <w:bookmarkEnd w:id="18"/>
      <w:bookmarkEnd w:id="19"/>
    </w:p>
    <w:p>
      <w:pPr>
        <w:pStyle w:val="3"/>
        <w:snapToGrid w:val="0"/>
        <w:spacing w:before="0" w:after="0" w:line="360" w:lineRule="auto"/>
        <w:ind w:firstLine="481" w:firstLineChars="150"/>
        <w:rPr>
          <w:rFonts w:ascii="仿宋" w:hAnsi="仿宋" w:eastAsia="仿宋"/>
        </w:rPr>
      </w:pPr>
      <w:bookmarkStart w:id="20" w:name="_Toc456193110"/>
      <w:bookmarkStart w:id="21" w:name="_Toc73953606"/>
      <w:bookmarkStart w:id="22" w:name="_Toc2082140224"/>
      <w:r>
        <w:rPr>
          <w:rFonts w:hint="eastAsia" w:ascii="仿宋" w:hAnsi="仿宋" w:eastAsia="仿宋"/>
        </w:rPr>
        <w:t>（一）指导思想</w:t>
      </w:r>
      <w:bookmarkEnd w:id="20"/>
      <w:bookmarkEnd w:id="21"/>
      <w:bookmarkEnd w:id="22"/>
    </w:p>
    <w:p>
      <w:pPr>
        <w:autoSpaceDE w:val="0"/>
        <w:autoSpaceDN w:val="0"/>
        <w:adjustRightInd w:val="0"/>
        <w:snapToGrid w:val="0"/>
        <w:spacing w:line="360" w:lineRule="auto"/>
        <w:ind w:firstLine="645"/>
        <w:rPr>
          <w:rFonts w:ascii="仿宋" w:hAnsi="仿宋" w:eastAsia="仿宋"/>
          <w:sz w:val="32"/>
          <w:szCs w:val="32"/>
        </w:rPr>
      </w:pPr>
      <w:r>
        <w:rPr>
          <w:rFonts w:hint="eastAsia" w:ascii="仿宋" w:hAnsi="仿宋" w:eastAsia="仿宋"/>
          <w:sz w:val="32"/>
          <w:szCs w:val="32"/>
        </w:rPr>
        <w:t>坚持以习近平新时代中国特色社会主义思想为指导，深入贯彻党的十九大和十九届二中、三中、四中、五中全会精神，坚持新发展理念，以推动高质量发展为主题，加强创新生态培育、重点领域布局、国际合作交流与产业链深度融合，大幅提升设计主体的创新能力、关键技术难题的攻关研究能力、精英设计人才的引育集聚能力、杭州设计的辐射带动能力，完善工业设计的公共服务体系，优化设计发展市场环境，不断推动“杭州制造”向“杭州创造”跃进。</w:t>
      </w:r>
    </w:p>
    <w:p>
      <w:pPr>
        <w:pStyle w:val="3"/>
        <w:snapToGrid w:val="0"/>
        <w:spacing w:before="0" w:after="0" w:line="360" w:lineRule="auto"/>
        <w:ind w:firstLine="481" w:firstLineChars="150"/>
        <w:rPr>
          <w:rFonts w:ascii="仿宋" w:hAnsi="仿宋" w:eastAsia="仿宋"/>
        </w:rPr>
      </w:pPr>
      <w:bookmarkStart w:id="23" w:name="_Toc73953607"/>
      <w:bookmarkStart w:id="24" w:name="_Toc1284716903"/>
      <w:bookmarkStart w:id="25" w:name="_Toc456193111"/>
      <w:r>
        <w:rPr>
          <w:rFonts w:hint="eastAsia" w:ascii="仿宋" w:hAnsi="仿宋" w:eastAsia="仿宋"/>
        </w:rPr>
        <w:t>（二）发展原则</w:t>
      </w:r>
      <w:bookmarkEnd w:id="23"/>
      <w:bookmarkEnd w:id="24"/>
      <w:bookmarkEnd w:id="25"/>
    </w:p>
    <w:p>
      <w:pPr>
        <w:snapToGrid w:val="0"/>
        <w:spacing w:line="360" w:lineRule="auto"/>
        <w:rPr>
          <w:rFonts w:ascii="仿宋" w:hAnsi="仿宋" w:eastAsia="仿宋"/>
          <w:bCs/>
          <w:sz w:val="32"/>
          <w:szCs w:val="32"/>
        </w:rPr>
      </w:pP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b/>
          <w:sz w:val="32"/>
          <w:szCs w:val="32"/>
        </w:rPr>
        <w:t>坚持创新驱动。</w:t>
      </w:r>
      <w:r>
        <w:rPr>
          <w:rFonts w:hint="eastAsia" w:ascii="仿宋" w:hAnsi="仿宋" w:eastAsia="仿宋"/>
          <w:bCs/>
          <w:sz w:val="32"/>
          <w:szCs w:val="32"/>
        </w:rPr>
        <w:t>把握全球工业设计创新发展趋势，加强基础理论研究，</w:t>
      </w:r>
      <w:bookmarkStart w:id="26" w:name="_Hlk60679740"/>
      <w:r>
        <w:rPr>
          <w:rFonts w:hint="eastAsia" w:ascii="仿宋" w:hAnsi="仿宋" w:eastAsia="仿宋"/>
          <w:bCs/>
          <w:sz w:val="32"/>
          <w:szCs w:val="32"/>
        </w:rPr>
        <w:t>广泛运用新兴技术</w:t>
      </w:r>
      <w:bookmarkEnd w:id="26"/>
      <w:r>
        <w:rPr>
          <w:rFonts w:hint="eastAsia" w:ascii="仿宋" w:hAnsi="仿宋" w:eastAsia="仿宋"/>
          <w:bCs/>
          <w:sz w:val="32"/>
          <w:szCs w:val="32"/>
        </w:rPr>
        <w:t>，推动产品、服务、模式创新，布局工业设计产业新格局；促进工业设计在产业经济、民生领域、城市治理中的深度应用，形成示范效应。</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b/>
          <w:sz w:val="32"/>
          <w:szCs w:val="32"/>
        </w:rPr>
        <w:t>坚持统筹布局。</w:t>
      </w:r>
      <w:r>
        <w:rPr>
          <w:rFonts w:hint="eastAsia" w:ascii="仿宋" w:hAnsi="仿宋" w:eastAsia="仿宋"/>
          <w:sz w:val="32"/>
          <w:szCs w:val="32"/>
        </w:rPr>
        <w:t>加强重点部署，整合优势资源，加大重点行业、重点领域各类要素保障，引育与布局工业设计行业的大平台、大项目，进一步推动制造业从数量扩张向质量提高的战略性转变。</w:t>
      </w:r>
    </w:p>
    <w:p>
      <w:pPr>
        <w:snapToGrid w:val="0"/>
        <w:spacing w:line="360" w:lineRule="auto"/>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b/>
          <w:sz w:val="32"/>
          <w:szCs w:val="32"/>
        </w:rPr>
        <w:t>坚持绿色融合。</w:t>
      </w:r>
      <w:r>
        <w:rPr>
          <w:rFonts w:hint="eastAsia" w:ascii="仿宋" w:hAnsi="仿宋" w:eastAsia="仿宋"/>
          <w:sz w:val="32"/>
          <w:szCs w:val="32"/>
        </w:rPr>
        <w:t>坚持可持续发展的路线，建设设计驱动下的绿色低碳循环发展的经济体系，引导消费者形成绿色生活方式；推动杭州市工业设计产业与区域重点制造业、信息产业的深度融合，强化设计赋能作用。</w:t>
      </w:r>
    </w:p>
    <w:p>
      <w:pPr>
        <w:autoSpaceDE w:val="0"/>
        <w:autoSpaceDN w:val="0"/>
        <w:adjustRightInd w:val="0"/>
        <w:snapToGrid w:val="0"/>
        <w:spacing w:line="360" w:lineRule="auto"/>
        <w:rPr>
          <w:rFonts w:ascii="仿宋" w:hAnsi="仿宋" w:eastAsia="仿宋"/>
          <w:color w:val="000000"/>
          <w:sz w:val="32"/>
          <w:szCs w:val="32"/>
        </w:rPr>
      </w:pP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b/>
          <w:sz w:val="32"/>
          <w:szCs w:val="32"/>
        </w:rPr>
        <w:t>坚持开放合作</w:t>
      </w:r>
      <w:r>
        <w:rPr>
          <w:rFonts w:hint="eastAsia" w:ascii="仿宋" w:hAnsi="仿宋" w:eastAsia="仿宋"/>
          <w:sz w:val="32"/>
          <w:szCs w:val="32"/>
        </w:rPr>
        <w:t>。进一步加大开放水平，深化对外合作，“走出去”与“引进来”并重，激发工业设计相关人才、技术、服务、资本等要素的流动活力，提升杭州工业设计的国际化水平，为疫情后的世界经济复苏与美好生活建设贡献杭州的设计智慧。</w:t>
      </w:r>
    </w:p>
    <w:p>
      <w:pPr>
        <w:pStyle w:val="3"/>
        <w:snapToGrid w:val="0"/>
        <w:spacing w:before="0" w:after="0" w:line="360" w:lineRule="auto"/>
        <w:ind w:firstLine="481" w:firstLineChars="150"/>
        <w:rPr>
          <w:rFonts w:ascii="仿宋" w:hAnsi="仿宋" w:eastAsia="仿宋"/>
        </w:rPr>
      </w:pPr>
      <w:bookmarkStart w:id="27" w:name="_Toc73953608"/>
      <w:bookmarkStart w:id="28" w:name="_Toc456193112"/>
      <w:bookmarkStart w:id="29" w:name="_Toc1436401783"/>
      <w:r>
        <w:rPr>
          <w:rFonts w:hint="eastAsia" w:ascii="仿宋" w:hAnsi="仿宋" w:eastAsia="仿宋"/>
        </w:rPr>
        <w:t>（三）发展目标</w:t>
      </w:r>
      <w:bookmarkEnd w:id="27"/>
      <w:bookmarkEnd w:id="28"/>
      <w:bookmarkEnd w:id="29"/>
    </w:p>
    <w:p>
      <w:pPr>
        <w:autoSpaceDE w:val="0"/>
        <w:autoSpaceDN w:val="0"/>
        <w:adjustRightInd w:val="0"/>
        <w:snapToGrid w:val="0"/>
        <w:spacing w:line="360" w:lineRule="auto"/>
        <w:rPr>
          <w:rFonts w:ascii="仿宋" w:hAnsi="仿宋" w:eastAsia="仿宋"/>
          <w:color w:val="000000"/>
          <w:sz w:val="32"/>
          <w:szCs w:val="32"/>
        </w:rPr>
      </w:pPr>
      <w:r>
        <w:rPr>
          <w:rFonts w:hint="eastAsia" w:ascii="仿宋" w:hAnsi="仿宋" w:eastAsia="仿宋"/>
          <w:b/>
          <w:sz w:val="32"/>
          <w:szCs w:val="32"/>
        </w:rPr>
        <w:tab/>
      </w:r>
      <w:r>
        <w:rPr>
          <w:rFonts w:hint="eastAsia" w:ascii="仿宋" w:hAnsi="仿宋" w:eastAsia="仿宋"/>
          <w:b/>
          <w:sz w:val="32"/>
          <w:szCs w:val="32"/>
        </w:rPr>
        <w:t xml:space="preserve">  </w:t>
      </w:r>
      <w:r>
        <w:rPr>
          <w:rFonts w:hint="eastAsia" w:ascii="仿宋" w:hAnsi="仿宋" w:eastAsia="仿宋"/>
          <w:color w:val="000000"/>
          <w:sz w:val="32"/>
          <w:szCs w:val="32"/>
        </w:rPr>
        <w:t>以打造具有全球影响力的工业设计中心城市为战略指引，瞄准“三区三标杆”进行建设，力争到2025年，将杭州发展成为工业设计企业高端集聚区、工业设计基础研究先行区、工业设计精英人才引育示范区、带动区域产业高质量发展的赋能标杆、公共服务体系完善的产业生态标杆、知识产权管理体制的实践标杆，打造具有鲜明数字经济特色、鲜明“双创”经济特色、鲜明服务型制造特色的工业设计之城，使杭州领跑</w:t>
      </w:r>
      <w:r>
        <w:rPr>
          <w:rFonts w:hint="eastAsia" w:ascii="仿宋" w:hAnsi="仿宋" w:eastAsia="仿宋"/>
          <w:sz w:val="32"/>
          <w:szCs w:val="32"/>
        </w:rPr>
        <w:t>国内工业设计中心城市的“第一方阵”</w:t>
      </w:r>
      <w:r>
        <w:rPr>
          <w:rFonts w:hint="eastAsia" w:ascii="仿宋" w:hAnsi="仿宋" w:eastAsia="仿宋"/>
          <w:color w:val="000000"/>
          <w:sz w:val="32"/>
          <w:szCs w:val="32"/>
        </w:rPr>
        <w:t>。</w:t>
      </w:r>
    </w:p>
    <w:p>
      <w:pPr>
        <w:snapToGrid w:val="0"/>
        <w:spacing w:line="360" w:lineRule="auto"/>
        <w:ind w:firstLine="642" w:firstLineChars="200"/>
        <w:rPr>
          <w:rFonts w:ascii="仿宋" w:hAnsi="仿宋" w:eastAsia="仿宋"/>
          <w:sz w:val="32"/>
          <w:szCs w:val="32"/>
          <w:highlight w:val="yellow"/>
        </w:rPr>
      </w:pPr>
      <w:r>
        <w:rPr>
          <w:rFonts w:hint="eastAsia" w:ascii="仿宋" w:hAnsi="仿宋" w:eastAsia="仿宋"/>
          <w:b/>
          <w:sz w:val="32"/>
          <w:szCs w:val="32"/>
        </w:rPr>
        <w:t>——产业规模显著增长。</w:t>
      </w:r>
      <w:r>
        <w:rPr>
          <w:rFonts w:hint="eastAsia" w:ascii="仿宋" w:hAnsi="仿宋" w:eastAsia="仿宋"/>
          <w:color w:val="000000"/>
          <w:sz w:val="32"/>
          <w:szCs w:val="32"/>
        </w:rPr>
        <w:t>强化设计创新载体建设，</w:t>
      </w:r>
      <w:r>
        <w:rPr>
          <w:rFonts w:hint="eastAsia" w:ascii="仿宋" w:hAnsi="仿宋" w:eastAsia="仿宋"/>
          <w:sz w:val="32"/>
          <w:szCs w:val="32"/>
        </w:rPr>
        <w:t>做大做强龙头工业设计企业，加快孵化中小微设计企业，鼓励制造业企业与信息产业企业建立工业设计中心。至</w:t>
      </w:r>
      <w:r>
        <w:rPr>
          <w:rFonts w:ascii="仿宋" w:hAnsi="仿宋" w:eastAsia="仿宋"/>
          <w:sz w:val="32"/>
          <w:szCs w:val="32"/>
        </w:rPr>
        <w:t>2025</w:t>
      </w:r>
      <w:r>
        <w:rPr>
          <w:rFonts w:hint="eastAsia" w:ascii="仿宋" w:hAnsi="仿宋" w:eastAsia="仿宋"/>
          <w:sz w:val="32"/>
          <w:szCs w:val="32"/>
        </w:rPr>
        <w:t>年，全市主要设计企业服务总收入达到100亿元，工业设计成果转化产值达到7</w:t>
      </w:r>
      <w:r>
        <w:rPr>
          <w:rFonts w:ascii="仿宋" w:hAnsi="仿宋" w:eastAsia="仿宋"/>
          <w:sz w:val="32"/>
          <w:szCs w:val="32"/>
        </w:rPr>
        <w:t>000</w:t>
      </w:r>
      <w:r>
        <w:rPr>
          <w:rFonts w:hint="eastAsia" w:ascii="仿宋" w:hAnsi="仿宋" w:eastAsia="仿宋"/>
          <w:sz w:val="32"/>
          <w:szCs w:val="32"/>
        </w:rPr>
        <w:t>亿元。</w:t>
      </w:r>
    </w:p>
    <w:p>
      <w:pPr>
        <w:snapToGrid w:val="0"/>
        <w:spacing w:line="360" w:lineRule="auto"/>
        <w:ind w:firstLine="642" w:firstLineChars="200"/>
        <w:rPr>
          <w:rFonts w:ascii="仿宋" w:hAnsi="仿宋" w:eastAsia="仿宋"/>
          <w:sz w:val="32"/>
          <w:szCs w:val="32"/>
        </w:rPr>
      </w:pPr>
      <w:r>
        <w:rPr>
          <w:rFonts w:hint="eastAsia" w:ascii="仿宋" w:hAnsi="仿宋" w:eastAsia="仿宋"/>
          <w:b/>
          <w:sz w:val="32"/>
          <w:szCs w:val="32"/>
        </w:rPr>
        <w:t>——设计能力显著增强。</w:t>
      </w:r>
      <w:r>
        <w:rPr>
          <w:rFonts w:hint="eastAsia" w:ascii="仿宋" w:hAnsi="仿宋" w:eastAsia="仿宋"/>
          <w:sz w:val="32"/>
          <w:szCs w:val="32"/>
        </w:rPr>
        <w:t>引进国内外顶级工业设计机构，培育具有国际影响力的工业设计企业，优化人才培养、认定与激励机制，引进并留住工业设计精英人才，增强设计创新活力。力争到</w:t>
      </w:r>
      <w:r>
        <w:rPr>
          <w:rFonts w:ascii="仿宋" w:hAnsi="仿宋" w:eastAsia="仿宋"/>
          <w:sz w:val="32"/>
          <w:szCs w:val="32"/>
        </w:rPr>
        <w:t>2025</w:t>
      </w:r>
      <w:r>
        <w:rPr>
          <w:rFonts w:hint="eastAsia" w:ascii="仿宋" w:hAnsi="仿宋" w:eastAsia="仿宋"/>
          <w:sz w:val="32"/>
          <w:szCs w:val="32"/>
        </w:rPr>
        <w:t>年，新增国家级工业设计中心7家，省级工业设计中心</w:t>
      </w:r>
      <w:r>
        <w:rPr>
          <w:rFonts w:ascii="仿宋" w:hAnsi="仿宋" w:eastAsia="仿宋"/>
          <w:sz w:val="32"/>
          <w:szCs w:val="32"/>
        </w:rPr>
        <w:t>20家</w:t>
      </w:r>
      <w:r>
        <w:rPr>
          <w:rFonts w:hint="eastAsia" w:ascii="仿宋" w:hAnsi="仿宋" w:eastAsia="仿宋"/>
          <w:sz w:val="32"/>
          <w:szCs w:val="32"/>
        </w:rPr>
        <w:t>，新增国家级工业设计研究院2家，新增</w:t>
      </w:r>
      <w:r>
        <w:rPr>
          <w:rFonts w:hint="eastAsia" w:ascii="仿宋" w:hAnsi="仿宋" w:eastAsia="仿宋"/>
          <w:kern w:val="0"/>
          <w:sz w:val="32"/>
          <w:szCs w:val="32"/>
        </w:rPr>
        <w:t>国家级的高端设计人才</w:t>
      </w:r>
      <w:r>
        <w:rPr>
          <w:rFonts w:ascii="仿宋" w:hAnsi="仿宋" w:eastAsia="仿宋"/>
          <w:kern w:val="0"/>
          <w:sz w:val="32"/>
          <w:szCs w:val="32"/>
        </w:rPr>
        <w:t>14</w:t>
      </w:r>
      <w:r>
        <w:rPr>
          <w:rFonts w:hint="eastAsia" w:ascii="仿宋" w:hAnsi="仿宋" w:eastAsia="仿宋"/>
          <w:kern w:val="0"/>
          <w:sz w:val="32"/>
          <w:szCs w:val="32"/>
        </w:rPr>
        <w:t>位</w:t>
      </w:r>
      <w:r>
        <w:rPr>
          <w:rFonts w:ascii="仿宋" w:hAnsi="仿宋" w:eastAsia="仿宋"/>
          <w:sz w:val="32"/>
          <w:szCs w:val="32"/>
        </w:rPr>
        <w:t>。</w:t>
      </w:r>
    </w:p>
    <w:p>
      <w:pPr>
        <w:snapToGrid w:val="0"/>
        <w:spacing w:line="360" w:lineRule="auto"/>
        <w:ind w:firstLine="642" w:firstLineChars="200"/>
        <w:rPr>
          <w:rFonts w:ascii="仿宋" w:hAnsi="仿宋" w:eastAsia="仿宋"/>
          <w:sz w:val="32"/>
          <w:szCs w:val="32"/>
        </w:rPr>
      </w:pPr>
      <w:r>
        <w:rPr>
          <w:rFonts w:hint="eastAsia" w:ascii="仿宋" w:hAnsi="仿宋" w:eastAsia="仿宋"/>
          <w:b/>
          <w:sz w:val="32"/>
          <w:szCs w:val="32"/>
        </w:rPr>
        <w:t>——产业融合显著深化。</w:t>
      </w:r>
      <w:r>
        <w:rPr>
          <w:rFonts w:hint="eastAsia" w:ascii="仿宋" w:hAnsi="仿宋" w:eastAsia="仿宋"/>
          <w:color w:val="000000"/>
          <w:sz w:val="32"/>
          <w:szCs w:val="32"/>
        </w:rPr>
        <w:t>发挥工业设计与技术创新、文化创新、商业创新、社会创新耦合关联的特性，</w:t>
      </w:r>
      <w:r>
        <w:rPr>
          <w:rFonts w:hint="eastAsia" w:ascii="仿宋" w:hAnsi="仿宋" w:eastAsia="仿宋"/>
          <w:sz w:val="32"/>
          <w:szCs w:val="32"/>
        </w:rPr>
        <w:t>加速工业设计与重点产业融合发展，大幅提升工业设计与制造业、信息产业的融合度，力争形成一批具有行业示范效应的标杆成果，有2个工业设计相关项目入选国家服务型制造示范名单，成功申报国家服务型制造示范城市。</w:t>
      </w:r>
    </w:p>
    <w:p>
      <w:pPr>
        <w:snapToGrid w:val="0"/>
        <w:spacing w:line="360" w:lineRule="auto"/>
        <w:ind w:firstLine="642" w:firstLineChars="200"/>
        <w:rPr>
          <w:rFonts w:ascii="仿宋" w:hAnsi="仿宋" w:eastAsia="仿宋"/>
          <w:sz w:val="32"/>
          <w:szCs w:val="32"/>
        </w:rPr>
      </w:pPr>
      <w:r>
        <w:rPr>
          <w:rFonts w:hint="eastAsia" w:ascii="仿宋" w:hAnsi="仿宋" w:eastAsia="仿宋"/>
          <w:b/>
          <w:sz w:val="32"/>
          <w:szCs w:val="32"/>
        </w:rPr>
        <w:t>——发展环境显著优化。</w:t>
      </w:r>
      <w:r>
        <w:rPr>
          <w:rFonts w:hint="eastAsia" w:ascii="仿宋" w:hAnsi="仿宋" w:eastAsia="仿宋"/>
          <w:sz w:val="32"/>
          <w:szCs w:val="32"/>
        </w:rPr>
        <w:t>提高企业创新意识，营造良性健康的市场环境，大力发展设计交易、协同设计、设计孵化、设计金融等公共服务平台，完善工业设计价值转化的评价与测算体系，提升设计企业、设计奖项、设计人才的评定与奖励标准，完善工业设计知识产权管理机制。</w:t>
      </w:r>
    </w:p>
    <w:p>
      <w:pPr>
        <w:snapToGrid w:val="0"/>
        <w:spacing w:line="360" w:lineRule="auto"/>
        <w:ind w:firstLine="642" w:firstLineChars="200"/>
        <w:rPr>
          <w:rFonts w:ascii="仿宋" w:hAnsi="仿宋" w:eastAsia="仿宋"/>
          <w:color w:val="000000"/>
          <w:sz w:val="32"/>
          <w:szCs w:val="32"/>
        </w:rPr>
      </w:pPr>
      <w:r>
        <w:rPr>
          <w:rFonts w:hint="eastAsia" w:ascii="仿宋" w:hAnsi="仿宋" w:eastAsia="仿宋"/>
          <w:b/>
          <w:sz w:val="32"/>
          <w:szCs w:val="32"/>
        </w:rPr>
        <w:t>——开放交流显著升级。</w:t>
      </w:r>
      <w:r>
        <w:rPr>
          <w:rFonts w:hint="eastAsia" w:ascii="仿宋" w:hAnsi="仿宋" w:eastAsia="仿宋"/>
          <w:sz w:val="32"/>
          <w:szCs w:val="32"/>
        </w:rPr>
        <w:t>继续增强梦栖小镇、大创小镇等特色小镇与产业园区对国内外设计机构的集聚效应，支持</w:t>
      </w:r>
      <w:r>
        <w:rPr>
          <w:rFonts w:hint="eastAsia" w:ascii="仿宋" w:hAnsi="仿宋" w:eastAsia="仿宋"/>
          <w:color w:val="000000"/>
          <w:sz w:val="32"/>
          <w:szCs w:val="32"/>
        </w:rPr>
        <w:t>DIA中国设计智造大奖发展成国际顶级的设计赛事，加大扶持行业创新设计大赛的力度，力争打造若干具有国际影响力的行业设计大赛，继续提升“杭州设计”的品牌效应。</w:t>
      </w:r>
    </w:p>
    <w:p>
      <w:pPr>
        <w:snapToGrid w:val="0"/>
        <w:spacing w:line="360" w:lineRule="auto"/>
        <w:ind w:firstLine="560" w:firstLineChars="200"/>
        <w:jc w:val="center"/>
        <w:rPr>
          <w:rFonts w:ascii="黑体" w:hAnsi="黑体" w:eastAsia="黑体"/>
          <w:sz w:val="28"/>
          <w:szCs w:val="28"/>
        </w:rPr>
      </w:pPr>
      <w:r>
        <w:rPr>
          <w:rFonts w:hint="eastAsia" w:ascii="黑体" w:hAnsi="黑体" w:eastAsia="黑体"/>
          <w:sz w:val="28"/>
          <w:szCs w:val="28"/>
        </w:rPr>
        <w:t>杭州市工业设计产业发展“十四五”规划指标体系表</w:t>
      </w:r>
    </w:p>
    <w:tbl>
      <w:tblPr>
        <w:tblStyle w:val="1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43"/>
        <w:gridCol w:w="1701"/>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71" w:type="dxa"/>
          </w:tcPr>
          <w:p>
            <w:pPr>
              <w:snapToGrid w:val="0"/>
              <w:spacing w:line="360" w:lineRule="auto"/>
              <w:rPr>
                <w:rFonts w:ascii="仿宋" w:hAnsi="仿宋" w:eastAsia="仿宋"/>
                <w:color w:val="000000"/>
                <w:sz w:val="32"/>
                <w:szCs w:val="32"/>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主要指标</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015</w:t>
            </w:r>
            <w:r>
              <w:rPr>
                <w:rFonts w:hint="eastAsia" w:ascii="仿宋" w:hAnsi="仿宋" w:eastAsia="仿宋"/>
                <w:color w:val="000000"/>
                <w:sz w:val="24"/>
              </w:rPr>
              <w:t>年实际值</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020</w:t>
            </w:r>
            <w:r>
              <w:rPr>
                <w:rFonts w:hint="eastAsia" w:ascii="仿宋" w:hAnsi="仿宋" w:eastAsia="仿宋"/>
                <w:color w:val="000000"/>
                <w:sz w:val="24"/>
              </w:rPr>
              <w:t>年实际值</w:t>
            </w:r>
          </w:p>
        </w:tc>
        <w:tc>
          <w:tcPr>
            <w:tcW w:w="1843" w:type="dxa"/>
          </w:tcPr>
          <w:p>
            <w:pPr>
              <w:snapToGrid w:val="0"/>
              <w:spacing w:line="360" w:lineRule="auto"/>
              <w:jc w:val="center"/>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025</w:t>
            </w:r>
            <w:r>
              <w:rPr>
                <w:rFonts w:hint="eastAsia" w:ascii="仿宋" w:hAnsi="仿宋" w:eastAsia="仿宋"/>
                <w:color w:val="000000"/>
                <w:sz w:val="24"/>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snapToGrid w:val="0"/>
              <w:spacing w:line="360" w:lineRule="auto"/>
              <w:rPr>
                <w:rFonts w:ascii="仿宋" w:hAnsi="仿宋" w:eastAsia="仿宋"/>
                <w:color w:val="000000"/>
                <w:sz w:val="24"/>
              </w:rPr>
            </w:pPr>
            <w:r>
              <w:rPr>
                <w:rFonts w:hint="eastAsia" w:ascii="仿宋" w:hAnsi="仿宋" w:eastAsia="仿宋"/>
                <w:color w:val="000000"/>
                <w:sz w:val="24"/>
              </w:rPr>
              <w:t>产业能级与赋能能力</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主要设计企业服务总收入（亿元）</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13.5</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0</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napToGrid w:val="0"/>
              <w:spacing w:line="360" w:lineRule="auto"/>
              <w:rPr>
                <w:rFonts w:ascii="仿宋" w:hAnsi="仿宋" w:eastAsia="仿宋"/>
                <w:color w:val="000000"/>
                <w:sz w:val="24"/>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工业设计成果转化产值（亿元）</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900</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000</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7</w:t>
            </w:r>
            <w:r>
              <w:rPr>
                <w:rFonts w:ascii="仿宋" w:hAnsi="仿宋" w:eastAsia="仿宋"/>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snapToGrid w:val="0"/>
              <w:spacing w:line="360" w:lineRule="auto"/>
              <w:rPr>
                <w:rFonts w:ascii="仿宋" w:hAnsi="仿宋" w:eastAsia="仿宋"/>
                <w:color w:val="000000"/>
                <w:sz w:val="24"/>
              </w:rPr>
            </w:pPr>
            <w:r>
              <w:rPr>
                <w:rFonts w:hint="eastAsia" w:ascii="仿宋" w:hAnsi="仿宋" w:eastAsia="仿宋"/>
                <w:color w:val="000000"/>
                <w:sz w:val="24"/>
              </w:rPr>
              <w:t>设计载体培育能力</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国家级工业设计中心（家）</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1</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8</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napToGrid w:val="0"/>
              <w:spacing w:line="360" w:lineRule="auto"/>
              <w:rPr>
                <w:rFonts w:ascii="仿宋" w:hAnsi="仿宋" w:eastAsia="仿宋"/>
                <w:color w:val="000000"/>
                <w:sz w:val="24"/>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省级工业设计中心（家）</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42</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6</w:t>
            </w:r>
            <w:r>
              <w:rPr>
                <w:rFonts w:ascii="仿宋" w:hAnsi="仿宋" w:eastAsia="仿宋"/>
                <w:color w:val="000000"/>
                <w:sz w:val="24"/>
              </w:rPr>
              <w:t xml:space="preserve">0 </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9</w:t>
            </w:r>
            <w:r>
              <w:rPr>
                <w:rFonts w:ascii="仿宋" w:hAnsi="仿宋" w:eastAsia="仿宋"/>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napToGrid w:val="0"/>
              <w:spacing w:line="360" w:lineRule="auto"/>
              <w:rPr>
                <w:rFonts w:ascii="仿宋" w:hAnsi="仿宋" w:eastAsia="仿宋"/>
                <w:color w:val="000000"/>
                <w:sz w:val="24"/>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国家级工业设计研究院（家）</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0</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0</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napToGrid w:val="0"/>
              <w:spacing w:line="360" w:lineRule="auto"/>
              <w:rPr>
                <w:rFonts w:ascii="仿宋" w:hAnsi="仿宋" w:eastAsia="仿宋"/>
                <w:color w:val="000000"/>
                <w:sz w:val="24"/>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省级工业设计研究院（家）</w:t>
            </w:r>
          </w:p>
        </w:tc>
        <w:tc>
          <w:tcPr>
            <w:tcW w:w="1701" w:type="dxa"/>
          </w:tcPr>
          <w:p>
            <w:pPr>
              <w:snapToGrid w:val="0"/>
              <w:spacing w:line="360" w:lineRule="auto"/>
              <w:rPr>
                <w:rFonts w:ascii="仿宋" w:hAnsi="仿宋" w:eastAsia="仿宋"/>
                <w:color w:val="000000"/>
                <w:sz w:val="24"/>
              </w:rPr>
            </w:pPr>
            <w:r>
              <w:rPr>
                <w:rFonts w:ascii="仿宋" w:hAnsi="仿宋" w:eastAsia="仿宋"/>
                <w:sz w:val="24"/>
              </w:rPr>
              <w:t>0</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3</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snapToGrid w:val="0"/>
              <w:spacing w:line="360" w:lineRule="auto"/>
              <w:rPr>
                <w:rFonts w:ascii="仿宋" w:hAnsi="仿宋" w:eastAsia="仿宋"/>
                <w:color w:val="000000"/>
                <w:sz w:val="24"/>
              </w:rPr>
            </w:pPr>
            <w:r>
              <w:rPr>
                <w:rFonts w:hint="eastAsia" w:ascii="仿宋" w:hAnsi="仿宋" w:eastAsia="仿宋"/>
                <w:color w:val="000000"/>
                <w:sz w:val="24"/>
              </w:rPr>
              <w:t>设计人才集聚能力</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国家级高端设计人才（位）</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7</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18</w:t>
            </w:r>
          </w:p>
        </w:tc>
        <w:tc>
          <w:tcPr>
            <w:tcW w:w="1843" w:type="dxa"/>
          </w:tcPr>
          <w:p>
            <w:pPr>
              <w:snapToGrid w:val="0"/>
              <w:spacing w:line="360" w:lineRule="auto"/>
              <w:rPr>
                <w:rFonts w:ascii="仿宋" w:hAnsi="仿宋" w:eastAsia="仿宋"/>
                <w:color w:val="000000"/>
                <w:sz w:val="24"/>
              </w:rPr>
            </w:pPr>
            <w:r>
              <w:rPr>
                <w:rFonts w:ascii="仿宋" w:hAnsi="仿宋" w:eastAsia="仿宋"/>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napToGrid w:val="0"/>
              <w:spacing w:line="360" w:lineRule="auto"/>
              <w:rPr>
                <w:rFonts w:ascii="仿宋" w:hAnsi="仿宋" w:eastAsia="仿宋"/>
                <w:color w:val="000000"/>
                <w:sz w:val="24"/>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杭州市工业设计精英人物（位）</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75</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25</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napToGrid w:val="0"/>
              <w:spacing w:line="360" w:lineRule="auto"/>
              <w:rPr>
                <w:rFonts w:ascii="仿宋" w:hAnsi="仿宋" w:eastAsia="仿宋"/>
                <w:color w:val="000000"/>
                <w:sz w:val="24"/>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认定为杭州市高层次E类人才的工业设计师（位）</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0</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6</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8</w:t>
            </w:r>
            <w:r>
              <w:rPr>
                <w:rFonts w:ascii="仿宋" w:hAnsi="仿宋" w:eastAsia="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snapToGrid w:val="0"/>
              <w:spacing w:line="360" w:lineRule="auto"/>
              <w:rPr>
                <w:rFonts w:ascii="仿宋" w:hAnsi="仿宋" w:eastAsia="仿宋"/>
                <w:color w:val="000000"/>
                <w:sz w:val="24"/>
              </w:rPr>
            </w:pPr>
            <w:r>
              <w:rPr>
                <w:rFonts w:hint="eastAsia" w:ascii="仿宋" w:hAnsi="仿宋" w:eastAsia="仿宋"/>
                <w:color w:val="000000"/>
                <w:sz w:val="24"/>
              </w:rPr>
              <w:t>产业融合发展能力</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“设计+数字化”重点项目（个）</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0</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6</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napToGrid w:val="0"/>
              <w:spacing w:line="360" w:lineRule="auto"/>
              <w:rPr>
                <w:rFonts w:ascii="仿宋" w:hAnsi="仿宋" w:eastAsia="仿宋"/>
                <w:color w:val="000000"/>
                <w:sz w:val="24"/>
              </w:rPr>
            </w:pP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工业设计相关数据库（个）</w:t>
            </w:r>
          </w:p>
        </w:tc>
        <w:tc>
          <w:tcPr>
            <w:tcW w:w="1701" w:type="dxa"/>
          </w:tcPr>
          <w:p>
            <w:pPr>
              <w:snapToGrid w:val="0"/>
              <w:spacing w:line="360" w:lineRule="auto"/>
              <w:rPr>
                <w:rFonts w:ascii="仿宋" w:hAnsi="仿宋" w:eastAsia="仿宋"/>
                <w:color w:val="000000"/>
                <w:sz w:val="24"/>
              </w:rPr>
            </w:pPr>
            <w:r>
              <w:rPr>
                <w:rFonts w:ascii="仿宋" w:hAnsi="仿宋" w:eastAsia="仿宋"/>
                <w:color w:val="000000"/>
                <w:sz w:val="24"/>
              </w:rPr>
              <w:t>0</w:t>
            </w:r>
          </w:p>
        </w:tc>
        <w:tc>
          <w:tcPr>
            <w:tcW w:w="1701" w:type="dxa"/>
          </w:tcPr>
          <w:p>
            <w:pPr>
              <w:snapToGrid w:val="0"/>
              <w:spacing w:line="360" w:lineRule="auto"/>
              <w:rPr>
                <w:rFonts w:ascii="仿宋" w:hAnsi="仿宋" w:eastAsia="仿宋"/>
                <w:color w:val="000000"/>
                <w:sz w:val="24"/>
              </w:rPr>
            </w:pPr>
            <w:r>
              <w:rPr>
                <w:rFonts w:hint="eastAsia" w:ascii="仿宋" w:hAnsi="仿宋" w:eastAsia="仿宋"/>
                <w:color w:val="000000"/>
                <w:sz w:val="24"/>
              </w:rPr>
              <w:t>0</w:t>
            </w:r>
          </w:p>
        </w:tc>
        <w:tc>
          <w:tcPr>
            <w:tcW w:w="1843" w:type="dxa"/>
          </w:tcPr>
          <w:p>
            <w:pPr>
              <w:snapToGrid w:val="0"/>
              <w:spacing w:line="360" w:lineRule="auto"/>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71" w:type="dxa"/>
            <w:vMerge w:val="continue"/>
            <w:vAlign w:val="center"/>
          </w:tcPr>
          <w:p>
            <w:pPr>
              <w:snapToGrid w:val="0"/>
              <w:spacing w:line="360" w:lineRule="auto"/>
              <w:rPr>
                <w:rFonts w:ascii="仿宋" w:hAnsi="仿宋" w:eastAsia="仿宋"/>
                <w:color w:val="000000"/>
                <w:sz w:val="32"/>
                <w:szCs w:val="32"/>
              </w:rPr>
            </w:pPr>
          </w:p>
        </w:tc>
        <w:tc>
          <w:tcPr>
            <w:tcW w:w="1843" w:type="dxa"/>
            <w:vAlign w:val="center"/>
          </w:tcPr>
          <w:p>
            <w:pPr>
              <w:snapToGrid w:val="0"/>
              <w:spacing w:line="360" w:lineRule="auto"/>
              <w:rPr>
                <w:rFonts w:ascii="仿宋" w:hAnsi="仿宋" w:eastAsia="仿宋"/>
                <w:color w:val="000000"/>
                <w:sz w:val="24"/>
              </w:rPr>
            </w:pPr>
            <w:r>
              <w:rPr>
                <w:rFonts w:hint="eastAsia" w:ascii="仿宋" w:hAnsi="仿宋" w:eastAsia="仿宋"/>
                <w:color w:val="000000"/>
                <w:sz w:val="24"/>
              </w:rPr>
              <w:t>入选国家服务型制造示范名单（工业设计相关项目、企业、平台）（个）</w:t>
            </w:r>
          </w:p>
        </w:tc>
        <w:tc>
          <w:tcPr>
            <w:tcW w:w="1701" w:type="dxa"/>
          </w:tcPr>
          <w:p>
            <w:pPr>
              <w:snapToGrid w:val="0"/>
              <w:spacing w:line="360" w:lineRule="auto"/>
              <w:rPr>
                <w:rFonts w:ascii="仿宋" w:hAnsi="仿宋" w:eastAsia="仿宋"/>
                <w:color w:val="000000"/>
                <w:sz w:val="24"/>
              </w:rPr>
            </w:pPr>
          </w:p>
          <w:p>
            <w:pPr>
              <w:snapToGrid w:val="0"/>
              <w:spacing w:line="360" w:lineRule="auto"/>
              <w:rPr>
                <w:rFonts w:ascii="仿宋" w:hAnsi="仿宋" w:eastAsia="仿宋"/>
                <w:color w:val="000000"/>
                <w:sz w:val="24"/>
              </w:rPr>
            </w:pPr>
          </w:p>
          <w:p>
            <w:pPr>
              <w:snapToGrid w:val="0"/>
              <w:spacing w:line="360" w:lineRule="auto"/>
              <w:rPr>
                <w:rFonts w:ascii="仿宋" w:hAnsi="仿宋" w:eastAsia="仿宋"/>
                <w:color w:val="000000"/>
                <w:sz w:val="24"/>
              </w:rPr>
            </w:pPr>
            <w:r>
              <w:rPr>
                <w:rFonts w:ascii="仿宋" w:hAnsi="仿宋" w:eastAsia="仿宋"/>
                <w:color w:val="000000"/>
                <w:sz w:val="24"/>
              </w:rPr>
              <w:t>0</w:t>
            </w:r>
          </w:p>
        </w:tc>
        <w:tc>
          <w:tcPr>
            <w:tcW w:w="1701" w:type="dxa"/>
            <w:vAlign w:val="center"/>
          </w:tcPr>
          <w:p>
            <w:pPr>
              <w:snapToGrid w:val="0"/>
              <w:spacing w:line="360" w:lineRule="auto"/>
              <w:rPr>
                <w:rFonts w:ascii="仿宋" w:hAnsi="仿宋" w:eastAsia="仿宋"/>
                <w:color w:val="000000"/>
                <w:sz w:val="24"/>
              </w:rPr>
            </w:pPr>
            <w:r>
              <w:rPr>
                <w:rFonts w:ascii="仿宋" w:hAnsi="仿宋" w:eastAsia="仿宋"/>
                <w:color w:val="000000"/>
                <w:sz w:val="24"/>
              </w:rPr>
              <w:t>0</w:t>
            </w:r>
          </w:p>
        </w:tc>
        <w:tc>
          <w:tcPr>
            <w:tcW w:w="1843" w:type="dxa"/>
            <w:vAlign w:val="center"/>
          </w:tcPr>
          <w:p>
            <w:pPr>
              <w:snapToGrid w:val="0"/>
              <w:spacing w:line="360" w:lineRule="auto"/>
              <w:rPr>
                <w:rFonts w:ascii="仿宋" w:hAnsi="仿宋" w:eastAsia="仿宋"/>
                <w:color w:val="000000"/>
                <w:sz w:val="24"/>
              </w:rPr>
            </w:pPr>
            <w:r>
              <w:rPr>
                <w:rFonts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71" w:type="dxa"/>
            <w:vMerge w:val="continue"/>
          </w:tcPr>
          <w:p>
            <w:pPr>
              <w:snapToGrid w:val="0"/>
              <w:spacing w:line="360" w:lineRule="auto"/>
              <w:rPr>
                <w:rFonts w:ascii="仿宋" w:hAnsi="仿宋" w:eastAsia="仿宋"/>
                <w:color w:val="000000"/>
                <w:sz w:val="24"/>
              </w:rPr>
            </w:pPr>
          </w:p>
        </w:tc>
        <w:tc>
          <w:tcPr>
            <w:tcW w:w="7088" w:type="dxa"/>
            <w:gridSpan w:val="4"/>
          </w:tcPr>
          <w:p>
            <w:pPr>
              <w:snapToGrid w:val="0"/>
              <w:spacing w:line="360" w:lineRule="auto"/>
              <w:rPr>
                <w:rFonts w:ascii="仿宋" w:hAnsi="仿宋" w:eastAsia="仿宋"/>
                <w:color w:val="000000"/>
                <w:sz w:val="24"/>
              </w:rPr>
            </w:pPr>
            <w:r>
              <w:rPr>
                <w:rFonts w:hint="eastAsia" w:ascii="仿宋" w:hAnsi="仿宋" w:eastAsia="仿宋"/>
                <w:color w:val="000000"/>
                <w:sz w:val="24"/>
              </w:rPr>
              <w:t>成功申报服务型制造示范城市</w:t>
            </w:r>
          </w:p>
        </w:tc>
      </w:tr>
    </w:tbl>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pStyle w:val="2"/>
        <w:snapToGrid w:val="0"/>
        <w:spacing w:before="0" w:after="0" w:line="360" w:lineRule="auto"/>
        <w:ind w:firstLine="642" w:firstLineChars="200"/>
        <w:jc w:val="both"/>
        <w:rPr>
          <w:rFonts w:ascii="仿宋" w:hAnsi="仿宋" w:eastAsia="仿宋"/>
          <w:sz w:val="32"/>
          <w:szCs w:val="32"/>
        </w:rPr>
      </w:pPr>
      <w:bookmarkStart w:id="30" w:name="_Toc456193113"/>
      <w:bookmarkStart w:id="31" w:name="_Toc73953609"/>
      <w:bookmarkStart w:id="32" w:name="_Toc1741090954"/>
      <w:r>
        <w:rPr>
          <w:rFonts w:hint="eastAsia" w:ascii="仿宋" w:hAnsi="仿宋" w:eastAsia="仿宋"/>
          <w:sz w:val="32"/>
          <w:szCs w:val="32"/>
        </w:rPr>
        <w:t>三、</w:t>
      </w:r>
      <w:bookmarkEnd w:id="30"/>
      <w:r>
        <w:rPr>
          <w:rFonts w:hint="eastAsia" w:ascii="仿宋" w:hAnsi="仿宋" w:eastAsia="仿宋"/>
          <w:sz w:val="32"/>
          <w:szCs w:val="32"/>
        </w:rPr>
        <w:t>服务重点</w:t>
      </w:r>
      <w:bookmarkEnd w:id="31"/>
      <w:bookmarkEnd w:id="32"/>
    </w:p>
    <w:p>
      <w:pPr>
        <w:snapToGrid w:val="0"/>
        <w:spacing w:line="360" w:lineRule="auto"/>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 xml:space="preserve">  </w:t>
      </w:r>
      <w:bookmarkStart w:id="33" w:name="_Hlk62568795"/>
      <w:r>
        <w:rPr>
          <w:rFonts w:hint="eastAsia" w:ascii="仿宋" w:hAnsi="仿宋" w:eastAsia="仿宋"/>
          <w:sz w:val="32"/>
          <w:szCs w:val="32"/>
        </w:rPr>
        <w:t>立足杭州市优势特色产业基础，对接</w:t>
      </w:r>
      <w:r>
        <w:rPr>
          <w:rFonts w:hint="eastAsia" w:ascii="仿宋" w:hAnsi="仿宋" w:eastAsia="仿宋"/>
          <w:color w:val="000000"/>
          <w:sz w:val="32"/>
          <w:szCs w:val="32"/>
        </w:rPr>
        <w:t xml:space="preserve"> “打造全国数字经济第一城”行动计划、“新制造业计划”</w:t>
      </w:r>
      <w:r>
        <w:rPr>
          <w:rFonts w:hint="eastAsia" w:ascii="仿宋" w:hAnsi="仿宋" w:eastAsia="仿宋"/>
          <w:sz w:val="32"/>
          <w:szCs w:val="32"/>
        </w:rPr>
        <w:t>提出的产业发展方向，推动工业设计与战略性新兴产业融合发展，加快驱动传统优势产业和经典产业的动能转换，巩固提升优势产业，布局未来产业</w:t>
      </w:r>
      <w:bookmarkEnd w:id="33"/>
      <w:r>
        <w:rPr>
          <w:rFonts w:hint="eastAsia" w:ascii="仿宋" w:hAnsi="仿宋" w:eastAsia="仿宋"/>
          <w:sz w:val="32"/>
          <w:szCs w:val="32"/>
        </w:rPr>
        <w:t>，重点</w:t>
      </w:r>
      <w:r>
        <w:rPr>
          <w:rFonts w:hint="eastAsia" w:ascii="仿宋" w:hAnsi="仿宋" w:eastAsia="仿宋"/>
          <w:sz w:val="32"/>
          <w:szCs w:val="32"/>
          <w:lang w:eastAsia="zh-Hans"/>
        </w:rPr>
        <w:t>服务</w:t>
      </w:r>
      <w:r>
        <w:rPr>
          <w:rFonts w:hint="eastAsia" w:ascii="仿宋" w:hAnsi="仿宋" w:eastAsia="仿宋"/>
          <w:sz w:val="32"/>
          <w:szCs w:val="32"/>
        </w:rPr>
        <w:t>六大领域。</w:t>
      </w:r>
    </w:p>
    <w:p>
      <w:pPr>
        <w:pStyle w:val="3"/>
        <w:snapToGrid w:val="0"/>
        <w:spacing w:before="0" w:after="0" w:line="360" w:lineRule="auto"/>
        <w:ind w:firstLine="481" w:firstLineChars="150"/>
        <w:rPr>
          <w:rFonts w:ascii="仿宋" w:hAnsi="仿宋" w:eastAsia="仿宋"/>
        </w:rPr>
      </w:pPr>
      <w:bookmarkStart w:id="34" w:name="_Toc73953610"/>
      <w:bookmarkStart w:id="35" w:name="_Toc903489856"/>
      <w:r>
        <w:rPr>
          <w:rFonts w:hint="eastAsia" w:ascii="仿宋" w:hAnsi="仿宋" w:eastAsia="仿宋"/>
        </w:rPr>
        <w:t>（一）高端装备制造业</w:t>
      </w:r>
      <w:bookmarkEnd w:id="34"/>
      <w:bookmarkEnd w:id="35"/>
    </w:p>
    <w:p>
      <w:pPr>
        <w:snapToGrid w:val="0"/>
        <w:spacing w:line="360" w:lineRule="auto"/>
        <w:ind w:firstLine="640" w:firstLineChars="200"/>
        <w:rPr>
          <w:rFonts w:ascii="仿宋" w:hAnsi="仿宋" w:eastAsia="仿宋"/>
          <w:sz w:val="32"/>
          <w:szCs w:val="32"/>
        </w:rPr>
      </w:pPr>
      <w:r>
        <w:rPr>
          <w:rFonts w:hint="eastAsia" w:ascii="仿宋" w:hAnsi="仿宋" w:eastAsia="仿宋" w:cs="仿宋_GB2312"/>
          <w:kern w:val="0"/>
          <w:sz w:val="32"/>
          <w:szCs w:val="32"/>
        </w:rPr>
        <w:t>针对现代物流装备、机器人与智能制造装备、光伏与新能源装备、高效节能环保装备、现代医疗设备与器械、</w:t>
      </w:r>
      <w:r>
        <w:rPr>
          <w:rFonts w:hint="eastAsia" w:ascii="仿宋" w:hAnsi="仿宋" w:eastAsia="仿宋"/>
          <w:sz w:val="32"/>
          <w:szCs w:val="28"/>
        </w:rPr>
        <w:t>海洋工程装备、智能化与新能源船舶装备</w:t>
      </w:r>
      <w:r>
        <w:rPr>
          <w:rFonts w:hint="eastAsia" w:ascii="仿宋" w:hAnsi="仿宋" w:eastAsia="仿宋"/>
          <w:sz w:val="32"/>
          <w:szCs w:val="32"/>
        </w:rPr>
        <w:t>等高端装备产品领域，从研发阶段介入工业设计，推动技术创新与设计创新系统规划，围绕外观造型、功能创新、新材料应用、结构优化、交互设计、节材节能等重点环节，</w:t>
      </w:r>
      <w:r>
        <w:rPr>
          <w:rFonts w:hint="eastAsia" w:ascii="仿宋" w:hAnsi="仿宋" w:eastAsia="仿宋" w:cs="仿宋_GB2312"/>
          <w:kern w:val="0"/>
          <w:sz w:val="32"/>
          <w:szCs w:val="32"/>
        </w:rPr>
        <w:t>提高装备产品的审美品质、智能水平、人本体验，全方位提升高端装备产品的国际竞争力。</w:t>
      </w:r>
      <w:r>
        <w:rPr>
          <w:rFonts w:hint="eastAsia" w:ascii="仿宋" w:hAnsi="仿宋" w:eastAsia="仿宋"/>
          <w:sz w:val="32"/>
          <w:szCs w:val="32"/>
        </w:rPr>
        <w:t>鼓励工业设计企业在高端装备的技术整合、供应链管理、产品推广、产品生命周期管理等方面发挥积极作用，深入发展</w:t>
      </w:r>
      <w:r>
        <w:rPr>
          <w:rFonts w:hint="eastAsia" w:ascii="仿宋" w:hAnsi="仿宋" w:eastAsia="仿宋" w:cs="仿宋_GB2312"/>
          <w:kern w:val="0"/>
          <w:sz w:val="32"/>
          <w:szCs w:val="32"/>
        </w:rPr>
        <w:t>服务型制造</w:t>
      </w:r>
      <w:r>
        <w:rPr>
          <w:rFonts w:hint="eastAsia" w:ascii="仿宋" w:hAnsi="仿宋" w:eastAsia="仿宋"/>
          <w:sz w:val="32"/>
          <w:szCs w:val="32"/>
        </w:rPr>
        <w:t>。</w:t>
      </w:r>
    </w:p>
    <w:p>
      <w:pPr>
        <w:pStyle w:val="3"/>
        <w:snapToGrid w:val="0"/>
        <w:spacing w:before="0" w:after="0" w:line="360" w:lineRule="auto"/>
        <w:ind w:firstLine="481" w:firstLineChars="150"/>
        <w:rPr>
          <w:rFonts w:ascii="仿宋" w:hAnsi="仿宋" w:eastAsia="仿宋"/>
        </w:rPr>
      </w:pPr>
      <w:bookmarkStart w:id="36" w:name="_Toc97141855"/>
      <w:bookmarkStart w:id="37" w:name="_Toc73953611"/>
      <w:r>
        <w:rPr>
          <w:rFonts w:hint="eastAsia" w:ascii="仿宋" w:hAnsi="仿宋" w:eastAsia="仿宋"/>
        </w:rPr>
        <w:t>（二）新能源汽车与智能网联汽车产业</w:t>
      </w:r>
      <w:bookmarkEnd w:id="36"/>
      <w:bookmarkEnd w:id="37"/>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重点发展新能源汽车整车设计、智能充电设施设计、车载互联终端设计，探索智能网联汽车运营模式。加快新能源汽车在分时租赁、城市公交、出租汽车、场地用车等领域的智能应用；结合智慧城市建设，加强充换电设施的服务系统优化，推进与城市规划、配电网建设规划的协调发展；全面推进新能源汽车与智能网联汽车在车身、内饰、服务、软件系统方面的设计创新，探索车电分离和换电模式的私人化应用技术与服务，不断提升汽车低碳化、智能化、网联化、共享化水平，抢占汽车产业发展战略制高点。</w:t>
      </w:r>
    </w:p>
    <w:p>
      <w:pPr>
        <w:pStyle w:val="3"/>
        <w:snapToGrid w:val="0"/>
        <w:spacing w:before="0" w:after="0" w:line="360" w:lineRule="auto"/>
        <w:ind w:firstLine="481" w:firstLineChars="150"/>
        <w:rPr>
          <w:rFonts w:ascii="仿宋" w:hAnsi="仿宋" w:eastAsia="仿宋"/>
        </w:rPr>
      </w:pPr>
      <w:bookmarkStart w:id="38" w:name="_Toc575585265"/>
      <w:bookmarkStart w:id="39" w:name="_Toc73953612"/>
      <w:r>
        <w:rPr>
          <w:rFonts w:hint="eastAsia" w:ascii="仿宋" w:hAnsi="仿宋" w:eastAsia="仿宋"/>
        </w:rPr>
        <w:t>（三）新一代信息技术产业</w:t>
      </w:r>
      <w:bookmarkEnd w:id="38"/>
      <w:bookmarkEnd w:id="39"/>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深入实施数字经济“一号工程”，加速推进人工智能、云计算、大数据、物联网、网络数据安全等领域前沿技术的设计转化，推动数字技术与先进制造技术相融合的设计应用，</w:t>
      </w:r>
      <w:bookmarkStart w:id="40" w:name="_Hlk71729932"/>
      <w:r>
        <w:rPr>
          <w:rFonts w:hint="eastAsia" w:ascii="仿宋" w:hAnsi="仿宋" w:eastAsia="仿宋"/>
          <w:sz w:val="32"/>
          <w:szCs w:val="32"/>
        </w:rPr>
        <w:t>基于未来应用场景设计研发数字新产品、新平台</w:t>
      </w:r>
      <w:bookmarkEnd w:id="40"/>
      <w:r>
        <w:rPr>
          <w:rFonts w:hint="eastAsia" w:ascii="仿宋" w:hAnsi="仿宋" w:eastAsia="仿宋"/>
          <w:sz w:val="32"/>
          <w:szCs w:val="32"/>
        </w:rPr>
        <w:t>，培育新业态、新模式。加快推动新一代信息技术在智慧旅游、智慧教育、智慧医疗、智慧健康、智慧家庭等社会民生服务领域的设计应用，全面推进数字化改革。</w:t>
      </w:r>
    </w:p>
    <w:p>
      <w:pPr>
        <w:pStyle w:val="3"/>
        <w:snapToGrid w:val="0"/>
        <w:spacing w:before="0" w:after="0" w:line="360" w:lineRule="auto"/>
        <w:ind w:firstLine="481" w:firstLineChars="150"/>
        <w:rPr>
          <w:rFonts w:ascii="仿宋" w:hAnsi="仿宋" w:eastAsia="仿宋"/>
        </w:rPr>
      </w:pPr>
      <w:bookmarkStart w:id="41" w:name="_Toc1595202767"/>
      <w:bookmarkStart w:id="42" w:name="_Toc73953613"/>
      <w:r>
        <w:rPr>
          <w:rFonts w:hint="eastAsia" w:ascii="仿宋" w:hAnsi="仿宋" w:eastAsia="仿宋"/>
        </w:rPr>
        <w:t>（四）健康产品与服务产业</w:t>
      </w:r>
      <w:bookmarkEnd w:id="41"/>
      <w:bookmarkEnd w:id="42"/>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贯彻落实《“健康浙江2030”行动纲要》与《“健康杭州2030”规划纲要》，全力推进健康杭州建设。重点发展健康监护与康复器械、健身设施、适老化设施与产品的工业设计。探索智能健康电子产品和健康医疗移动应用的设计。加快整合人脸识别就诊、5Ｇ远程医疗和影像检查等新技术、新模式的设计应用。加大力度推动适合城市社区和农村的全民健身设施的设计，提升健身设施的科学性、规范性和通用性，优化布局，构建“15分钟健身圈”。加快老年生活设施的设计与改造，推动养老服务领域智能产品的设计研发，提升养老服务水平。</w:t>
      </w:r>
    </w:p>
    <w:p>
      <w:pPr>
        <w:pStyle w:val="3"/>
        <w:snapToGrid w:val="0"/>
        <w:spacing w:before="0" w:after="0" w:line="360" w:lineRule="auto"/>
        <w:ind w:firstLine="481" w:firstLineChars="150"/>
        <w:rPr>
          <w:rFonts w:ascii="仿宋" w:hAnsi="仿宋" w:eastAsia="仿宋"/>
        </w:rPr>
      </w:pPr>
      <w:bookmarkStart w:id="43" w:name="_Toc1387055821"/>
      <w:bookmarkStart w:id="44" w:name="_Toc73953614"/>
      <w:r>
        <w:rPr>
          <w:rFonts w:hint="eastAsia" w:ascii="仿宋" w:hAnsi="仿宋" w:eastAsia="仿宋"/>
        </w:rPr>
        <w:t>（五）时尚家居产业</w:t>
      </w:r>
      <w:bookmarkEnd w:id="43"/>
      <w:bookmarkEnd w:id="44"/>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以服装服饰、皮革制品、休闲用品、珠宝首饰、家具、家电、厨具、浴具、灯具等日用生活消费品产业为重点，结合大数据、物联网技术，支持</w:t>
      </w:r>
      <w:bookmarkStart w:id="45" w:name="_Hlk71730052"/>
      <w:r>
        <w:rPr>
          <w:rFonts w:hint="eastAsia" w:ascii="仿宋" w:hAnsi="仿宋" w:eastAsia="仿宋"/>
          <w:sz w:val="32"/>
          <w:szCs w:val="32"/>
        </w:rPr>
        <w:t>智能生态服装、智能厨卫、智能安防、智能娱乐、智能温控的设计创新</w:t>
      </w:r>
      <w:bookmarkEnd w:id="45"/>
      <w:r>
        <w:rPr>
          <w:rFonts w:hint="eastAsia" w:ascii="仿宋" w:hAnsi="仿宋" w:eastAsia="仿宋"/>
          <w:sz w:val="32"/>
          <w:szCs w:val="32"/>
        </w:rPr>
        <w:t>。建设国民体型数据库和标准色彩库，发展人体工学设计。充分发挥工业设计在打造时尚家居行业产品定制化“智能制造示范工厂”中的积极作用。加强</w:t>
      </w:r>
      <w:r>
        <w:rPr>
          <w:rFonts w:hint="eastAsia" w:ascii="仿宋" w:hAnsi="仿宋" w:eastAsia="仿宋"/>
          <w:color w:val="000000"/>
          <w:sz w:val="32"/>
          <w:szCs w:val="32"/>
        </w:rPr>
        <w:t>可再生循环材料在时尚家居产品中的设计应用</w:t>
      </w:r>
      <w:r>
        <w:rPr>
          <w:rFonts w:hint="eastAsia" w:ascii="仿宋" w:hAnsi="仿宋" w:eastAsia="仿宋"/>
          <w:sz w:val="32"/>
          <w:szCs w:val="32"/>
        </w:rPr>
        <w:t>，建设绿色产业链。推动新零售背景下时尚家居产品的创新设计，优化线上线下协同的体验与销售方式。打造具有杭州文脉的生活家居品牌，推动形成“杭州品牌-杭州设计-杭州制造-全球消费”链式发展模式。</w:t>
      </w:r>
    </w:p>
    <w:p>
      <w:pPr>
        <w:pStyle w:val="3"/>
        <w:snapToGrid w:val="0"/>
        <w:spacing w:before="0" w:after="0" w:line="360" w:lineRule="auto"/>
        <w:ind w:firstLine="481" w:firstLineChars="150"/>
        <w:rPr>
          <w:rFonts w:ascii="仿宋" w:hAnsi="仿宋" w:eastAsia="仿宋"/>
        </w:rPr>
      </w:pPr>
      <w:bookmarkStart w:id="46" w:name="_Toc1312195362"/>
      <w:bookmarkStart w:id="47" w:name="_Toc73953615"/>
      <w:r>
        <w:rPr>
          <w:rFonts w:hint="eastAsia" w:ascii="仿宋" w:hAnsi="仿宋" w:eastAsia="仿宋"/>
        </w:rPr>
        <w:t>（六）文化产业</w:t>
      </w:r>
      <w:bookmarkEnd w:id="46"/>
      <w:bookmarkEnd w:id="47"/>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围绕影视动漫、电子游戏、演艺娱乐、工艺美术、艺术品业等重点行业，针对观光、度假、会展、演艺、运动等旅游类型，着力提高工业设计的渗透度和融合度，助力杭州文化产业高质量发展。推动虚拟现实技术、计算机CG技术、复制仿真技术等在动画设计、制作领域中的应用，提升杭产动漫的竞争力。依托联合国教科文组织全球创意城市网络“工艺和民间艺术之都”建设，进一步推进“工艺美术再设计”，使杭扇、杭伞、杭剪等一批“老字号”品牌年轻化。依托红色基地、工业遗存、传统村落、文物遗迹，重点围绕杭州世界遗产群落，转译本土旅游文化要素，设计开发原创旅游纪念品、孵化旅游体验新项目，推动文化和旅游产业深度融合。通过设计赋能、提质增效、优化体验，进一步加快国际文化创意中心与国际旅游休闲中心建设。</w:t>
      </w:r>
    </w:p>
    <w:p>
      <w:pPr>
        <w:pStyle w:val="2"/>
        <w:snapToGrid w:val="0"/>
        <w:spacing w:before="0" w:after="0" w:line="360" w:lineRule="auto"/>
        <w:ind w:firstLine="642" w:firstLineChars="200"/>
        <w:jc w:val="both"/>
        <w:rPr>
          <w:rFonts w:ascii="仿宋" w:hAnsi="仿宋" w:eastAsia="仿宋"/>
          <w:sz w:val="32"/>
          <w:szCs w:val="32"/>
        </w:rPr>
      </w:pPr>
      <w:bookmarkStart w:id="48" w:name="_Toc1557878091"/>
      <w:bookmarkStart w:id="49" w:name="OLE_LINK59"/>
      <w:bookmarkStart w:id="50" w:name="OLE_LINK58"/>
      <w:bookmarkStart w:id="51" w:name="_Toc73953616"/>
      <w:bookmarkStart w:id="52" w:name="_Toc456193114"/>
      <w:r>
        <w:rPr>
          <w:rFonts w:hint="eastAsia" w:ascii="仿宋" w:hAnsi="仿宋" w:eastAsia="仿宋"/>
          <w:sz w:val="32"/>
          <w:szCs w:val="32"/>
        </w:rPr>
        <w:t>四、主要任务</w:t>
      </w:r>
      <w:bookmarkEnd w:id="48"/>
      <w:bookmarkEnd w:id="49"/>
      <w:bookmarkEnd w:id="50"/>
      <w:bookmarkEnd w:id="51"/>
      <w:bookmarkEnd w:id="52"/>
    </w:p>
    <w:p>
      <w:pPr>
        <w:snapToGrid w:val="0"/>
        <w:spacing w:line="360" w:lineRule="auto"/>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 xml:space="preserve"> 围绕发展目标，</w:t>
      </w:r>
      <w:bookmarkStart w:id="53" w:name="_Hlk62568927"/>
      <w:r>
        <w:rPr>
          <w:rFonts w:hint="eastAsia" w:ascii="仿宋" w:hAnsi="仿宋" w:eastAsia="仿宋"/>
          <w:sz w:val="32"/>
          <w:szCs w:val="32"/>
        </w:rPr>
        <w:t>强化资源整合，重视协调推进，聚焦服务重点，以企业主体发展为体，以基础科研能力提升、设计人才引育集聚为翼，以产业对接精准化、公共服务系统化、产权保护一体化为支撑，构建“一体两翼三支撑”的工业设计产业推进方式，力争在重要领域关键环节取得突破性进展，各项工作取得实质性提高。</w:t>
      </w:r>
      <w:bookmarkEnd w:id="53"/>
    </w:p>
    <w:p>
      <w:pPr>
        <w:pStyle w:val="3"/>
        <w:snapToGrid w:val="0"/>
        <w:spacing w:before="0" w:after="0" w:line="360" w:lineRule="auto"/>
        <w:ind w:firstLine="481" w:firstLineChars="150"/>
        <w:rPr>
          <w:rFonts w:ascii="仿宋" w:hAnsi="仿宋" w:eastAsia="仿宋"/>
        </w:rPr>
      </w:pPr>
      <w:bookmarkStart w:id="54" w:name="_Toc1136451213"/>
      <w:bookmarkStart w:id="55" w:name="_Toc73953617"/>
      <w:bookmarkStart w:id="56" w:name="_Hlk62569189"/>
      <w:r>
        <w:rPr>
          <w:rFonts w:hint="eastAsia" w:ascii="仿宋" w:hAnsi="仿宋" w:eastAsia="仿宋"/>
        </w:rPr>
        <w:t>（一）培育壮大设计主体，加快产业集聚发展</w:t>
      </w:r>
      <w:bookmarkEnd w:id="54"/>
      <w:bookmarkEnd w:id="55"/>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依托杭州市数字经济和制造业高质量发展“双引擎”驱动，把握服务型制造创新发展的新趋势，着力提升工业设计产业的发展水平，培育具有比较优势的设计产业集群。继续鼓励有条件制造业企业分设独立运作的工业设计中心，加强众创空间对新兴设计机构和设计品牌的孵化，促进设计类中小企业专业化、差异化发展，完善梯次培育机制。鼓励设计企业深度嵌入制造业、新一代信息产业的链条，形成长期稳定合作关系。引导设计企业对标国际头部企业，创新组织机制，从产品创新转向服务创新与战略咨询，推动服务型制造的转型升级。</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jc w:val="center"/>
              <w:rPr>
                <w:rFonts w:ascii="仿宋" w:hAnsi="仿宋" w:eastAsia="仿宋"/>
                <w:b/>
                <w:bCs/>
                <w:sz w:val="32"/>
                <w:szCs w:val="32"/>
              </w:rPr>
            </w:pPr>
            <w:bookmarkStart w:id="57" w:name="_Hlk62401052"/>
            <w:r>
              <w:rPr>
                <w:rFonts w:hint="eastAsia" w:ascii="仿宋" w:hAnsi="仿宋" w:eastAsia="仿宋"/>
                <w:b/>
                <w:bCs/>
                <w:sz w:val="32"/>
                <w:szCs w:val="32"/>
              </w:rPr>
              <w:t>专栏1 工业设计产业集聚区提升专项工程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探索具有可操作性与可持续性的设计企业招引机制，鼓励各大基地（园区）引进并集聚国内外顶级的工业设计机构。继续壮大良渚梦栖工业设计小镇和拱墅运河工业设计小镇的产业集群，依托钱塘区大创小镇、滨江创意小镇、临平艺尚小镇、萧山信息港小镇等省市两级特色小镇，大力引育具有“数字化”基因的工业设计企业。到2</w:t>
            </w:r>
            <w:r>
              <w:rPr>
                <w:rFonts w:ascii="仿宋" w:hAnsi="仿宋" w:eastAsia="仿宋"/>
                <w:sz w:val="32"/>
                <w:szCs w:val="32"/>
              </w:rPr>
              <w:t>025</w:t>
            </w:r>
            <w:r>
              <w:rPr>
                <w:rFonts w:hint="eastAsia" w:ascii="仿宋" w:hAnsi="仿宋" w:eastAsia="仿宋"/>
                <w:sz w:val="32"/>
                <w:szCs w:val="32"/>
              </w:rPr>
              <w:t>年，力争打造在全国具有示范性的工业设计集聚区2</w:t>
            </w:r>
            <w:r>
              <w:rPr>
                <w:rFonts w:ascii="仿宋" w:hAnsi="仿宋" w:eastAsia="仿宋"/>
                <w:sz w:val="32"/>
                <w:szCs w:val="32"/>
              </w:rPr>
              <w:t>-3</w:t>
            </w:r>
            <w:r>
              <w:rPr>
                <w:rFonts w:hint="eastAsia" w:ascii="仿宋" w:hAnsi="仿宋" w:eastAsia="仿宋"/>
                <w:sz w:val="32"/>
                <w:szCs w:val="32"/>
              </w:rPr>
              <w:t>个。</w:t>
            </w:r>
          </w:p>
        </w:tc>
      </w:tr>
      <w:bookmarkEnd w:id="56"/>
      <w:bookmarkEnd w:id="57"/>
    </w:tbl>
    <w:p>
      <w:bookmarkStart w:id="58" w:name="_Hlk62570529"/>
    </w:p>
    <w:p>
      <w:pPr>
        <w:pStyle w:val="3"/>
        <w:snapToGrid w:val="0"/>
        <w:spacing w:before="0" w:after="0" w:line="360" w:lineRule="auto"/>
        <w:ind w:firstLine="481" w:firstLineChars="150"/>
        <w:rPr>
          <w:rFonts w:ascii="仿宋" w:hAnsi="仿宋" w:eastAsia="仿宋"/>
        </w:rPr>
      </w:pPr>
      <w:bookmarkStart w:id="59" w:name="_Toc73953618"/>
      <w:bookmarkStart w:id="60" w:name="_Toc615980473"/>
      <w:r>
        <w:rPr>
          <w:rFonts w:hint="eastAsia" w:ascii="仿宋" w:hAnsi="仿宋" w:eastAsia="仿宋"/>
        </w:rPr>
        <w:t>（二）深化设计基础研究，加强关键共性技术攻关</w:t>
      </w:r>
      <w:bookmarkEnd w:id="59"/>
      <w:bookmarkEnd w:id="60"/>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进一步健全工业设计基础研究体系。推动国家工业设计研究院的申报与建设工作，壮大省级工业设计研究院，积极探索工业设计研究院运营方式和管理模式，争取在5G应用、物联网、健康养老、智慧医疗、新能源汽车与智能网联汽车等领域产生一批标志性的设计基础研究成果。引导杭州的大院名所深化工业设计基础理论研究，完善设计基础理论体系，加大对关键设计软件开发、低碳绿色生活方式模型研究的支持力度。鼓励全国首个服务型制造研究院开展工业设计和定制化模式的研究，进一步提升工业设计基础创新能力。</w:t>
      </w:r>
      <w:bookmarkStart w:id="61" w:name="_Hlk62476255"/>
      <w:r>
        <w:rPr>
          <w:rFonts w:hint="eastAsia" w:ascii="仿宋" w:hAnsi="仿宋" w:eastAsia="仿宋"/>
          <w:sz w:val="32"/>
          <w:szCs w:val="32"/>
        </w:rPr>
        <w:t>至2025年，新增国家级工业设计研究院2家、省级工业设计研究院10家。</w:t>
      </w:r>
      <w:bookmarkEnd w:id="61"/>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jc w:val="center"/>
              <w:rPr>
                <w:rFonts w:ascii="仿宋" w:hAnsi="仿宋" w:eastAsia="仿宋"/>
                <w:b/>
                <w:bCs/>
                <w:sz w:val="32"/>
                <w:szCs w:val="32"/>
              </w:rPr>
            </w:pPr>
            <w:r>
              <w:rPr>
                <w:rFonts w:hint="eastAsia" w:ascii="仿宋" w:hAnsi="仿宋" w:eastAsia="仿宋"/>
                <w:b/>
                <w:bCs/>
                <w:sz w:val="32"/>
                <w:szCs w:val="32"/>
              </w:rPr>
              <w:t>专栏2 工业设计相关数据库建设专项工程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ind w:firstLine="645"/>
              <w:rPr>
                <w:rFonts w:ascii="仿宋" w:hAnsi="仿宋" w:eastAsia="仿宋" w:cs="仿宋_GB2312"/>
                <w:kern w:val="0"/>
                <w:sz w:val="32"/>
                <w:szCs w:val="32"/>
              </w:rPr>
            </w:pPr>
            <w:r>
              <w:rPr>
                <w:rFonts w:hint="eastAsia" w:ascii="仿宋" w:hAnsi="仿宋" w:eastAsia="仿宋" w:cs="仿宋_GB2312"/>
                <w:kern w:val="0"/>
                <w:sz w:val="32"/>
                <w:szCs w:val="32"/>
              </w:rPr>
              <w:t>引导</w:t>
            </w:r>
            <w:r>
              <w:rPr>
                <w:rFonts w:hint="eastAsia" w:ascii="仿宋" w:hAnsi="仿宋" w:eastAsia="仿宋"/>
                <w:sz w:val="32"/>
                <w:szCs w:val="32"/>
              </w:rPr>
              <w:t>浙江大学、浙江工业大学、中国美术学院等高等院校和科研院所</w:t>
            </w:r>
            <w:r>
              <w:rPr>
                <w:rFonts w:hint="eastAsia" w:ascii="仿宋" w:hAnsi="仿宋" w:eastAsia="仿宋" w:cs="仿宋_GB2312"/>
                <w:kern w:val="0"/>
                <w:sz w:val="32"/>
                <w:szCs w:val="32"/>
              </w:rPr>
              <w:t>开展数据库研究，</w:t>
            </w:r>
            <w:r>
              <w:rPr>
                <w:rFonts w:hint="eastAsia" w:ascii="仿宋" w:hAnsi="仿宋" w:eastAsia="仿宋"/>
                <w:sz w:val="32"/>
                <w:szCs w:val="32"/>
              </w:rPr>
              <w:t>建设开放共享的材料数据库、体型数据库、色彩数据库、传统文化设计要素数据库等</w:t>
            </w:r>
            <w:bookmarkStart w:id="62" w:name="_Hlk62476312"/>
            <w:r>
              <w:rPr>
                <w:rFonts w:hint="eastAsia" w:ascii="仿宋" w:hAnsi="仿宋" w:eastAsia="仿宋" w:cs="仿宋_GB2312"/>
                <w:kern w:val="0"/>
                <w:sz w:val="32"/>
                <w:szCs w:val="32"/>
              </w:rPr>
              <w:t>工业设计相关的通用数据库</w:t>
            </w:r>
            <w:bookmarkEnd w:id="62"/>
            <w:r>
              <w:rPr>
                <w:rFonts w:hint="eastAsia" w:ascii="仿宋" w:hAnsi="仿宋" w:eastAsia="仿宋"/>
                <w:sz w:val="32"/>
                <w:szCs w:val="32"/>
              </w:rPr>
              <w:t>，提升数据挖掘、分析、转化、表达的技术，充分发挥大数据对重点发展领域的支撑作用。鼓励特色优势设计企业与制造业设计中心建立行业数据库，提升设计创新的基础优势。到2025年，建成支撑作用明显、具有标杆意义的数据库4-6个。</w:t>
            </w:r>
          </w:p>
        </w:tc>
      </w:tr>
      <w:bookmarkEnd w:id="58"/>
    </w:tbl>
    <w:p>
      <w:bookmarkStart w:id="63" w:name="_Hlk62571784"/>
    </w:p>
    <w:p>
      <w:pPr>
        <w:pStyle w:val="3"/>
        <w:snapToGrid w:val="0"/>
        <w:spacing w:before="0" w:after="0" w:line="360" w:lineRule="auto"/>
        <w:ind w:firstLine="481" w:firstLineChars="150"/>
        <w:rPr>
          <w:rFonts w:ascii="仿宋" w:hAnsi="仿宋" w:eastAsia="仿宋"/>
        </w:rPr>
      </w:pPr>
      <w:bookmarkStart w:id="64" w:name="_Toc73953619"/>
      <w:bookmarkStart w:id="65" w:name="_Toc1912631171"/>
      <w:r>
        <w:rPr>
          <w:rFonts w:hint="eastAsia" w:ascii="仿宋" w:hAnsi="仿宋" w:eastAsia="仿宋"/>
        </w:rPr>
        <w:t>（三）改革人才培养模式，畅通人才发展通道</w:t>
      </w:r>
      <w:bookmarkEnd w:id="64"/>
      <w:bookmarkEnd w:id="65"/>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坚持创新驱动的实质是人才驱动。支持高等院校根据“新工科”要求，探索多学科交叉融合的工业设计育人体系。</w:t>
      </w:r>
      <w:r>
        <w:rPr>
          <w:rFonts w:hint="eastAsia" w:ascii="仿宋" w:hAnsi="仿宋" w:eastAsia="仿宋" w:cs="仿宋"/>
          <w:sz w:val="32"/>
          <w:szCs w:val="32"/>
        </w:rPr>
        <w:t>鼓励在新一代信息产业、制造业企业及工业设计中心建立大学生实践与创业见习基地</w:t>
      </w:r>
      <w:r>
        <w:rPr>
          <w:rFonts w:hint="eastAsia" w:ascii="仿宋" w:hAnsi="仿宋" w:eastAsia="仿宋"/>
          <w:sz w:val="32"/>
          <w:szCs w:val="32"/>
        </w:rPr>
        <w:t>，推广高校与企业“双导师制”。鼓励高等院校加大力度引进与培养工业设计领域国际化师资，建设国际工业设计专家库，面向各行业设计人员举办国际化培训班。</w:t>
      </w:r>
      <w:r>
        <w:rPr>
          <w:rFonts w:hint="eastAsia" w:ascii="仿宋" w:hAnsi="仿宋" w:eastAsia="仿宋" w:cs="仿宋_GB2312"/>
          <w:kern w:val="0"/>
          <w:sz w:val="32"/>
          <w:szCs w:val="32"/>
        </w:rPr>
        <w:t>鼓励企业完善内部设计师培训机制，发展设计师终身学习的机制，</w:t>
      </w:r>
      <w:r>
        <w:rPr>
          <w:rFonts w:hint="eastAsia" w:ascii="仿宋" w:hAnsi="仿宋" w:eastAsia="仿宋"/>
          <w:sz w:val="32"/>
          <w:szCs w:val="32"/>
        </w:rPr>
        <w:t>畅通人才职业发展通道</w:t>
      </w:r>
      <w:r>
        <w:rPr>
          <w:rFonts w:hint="eastAsia" w:ascii="仿宋" w:hAnsi="仿宋" w:eastAsia="仿宋" w:cs="仿宋_GB2312"/>
          <w:kern w:val="0"/>
          <w:sz w:val="32"/>
          <w:szCs w:val="32"/>
        </w:rPr>
        <w:t>。加大对引进高层次紧缺设计人才的政策支持力度，</w:t>
      </w:r>
      <w:bookmarkStart w:id="66" w:name="_Hlk62478047"/>
      <w:r>
        <w:rPr>
          <w:rFonts w:hint="eastAsia" w:ascii="仿宋" w:hAnsi="仿宋" w:eastAsia="仿宋"/>
          <w:sz w:val="32"/>
          <w:szCs w:val="32"/>
        </w:rPr>
        <w:t>完善设计人才能力素质评价体系，提升对设计创意阶层的社会尊重</w:t>
      </w:r>
      <w:bookmarkEnd w:id="66"/>
      <w:r>
        <w:rPr>
          <w:rFonts w:hint="eastAsia" w:ascii="仿宋" w:hAnsi="仿宋" w:eastAsia="仿宋"/>
          <w:sz w:val="32"/>
          <w:szCs w:val="32"/>
        </w:rPr>
        <w:t>。</w:t>
      </w:r>
    </w:p>
    <w:p>
      <w:pPr>
        <w:snapToGrid w:val="0"/>
        <w:spacing w:line="360" w:lineRule="auto"/>
        <w:ind w:firstLine="640" w:firstLineChars="200"/>
        <w:rPr>
          <w:rFonts w:ascii="仿宋" w:hAnsi="仿宋" w:eastAsia="仿宋"/>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jc w:val="center"/>
              <w:rPr>
                <w:rFonts w:ascii="仿宋" w:hAnsi="仿宋" w:eastAsia="仿宋"/>
                <w:b/>
                <w:bCs/>
                <w:sz w:val="32"/>
                <w:szCs w:val="32"/>
              </w:rPr>
            </w:pPr>
            <w:r>
              <w:rPr>
                <w:rFonts w:hint="eastAsia" w:ascii="仿宋" w:hAnsi="仿宋" w:eastAsia="仿宋"/>
                <w:b/>
                <w:bCs/>
                <w:sz w:val="32"/>
                <w:szCs w:val="32"/>
              </w:rPr>
              <w:t>专栏3 精英设计人才引育专项工程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ind w:firstLine="645"/>
              <w:rPr>
                <w:rFonts w:ascii="仿宋" w:hAnsi="仿宋" w:eastAsia="仿宋" w:cs="仿宋_GB2312"/>
                <w:kern w:val="0"/>
                <w:sz w:val="32"/>
                <w:szCs w:val="32"/>
              </w:rPr>
            </w:pPr>
            <w:r>
              <w:rPr>
                <w:rFonts w:hint="eastAsia" w:ascii="仿宋" w:hAnsi="仿宋" w:eastAsia="仿宋" w:cs="仿宋_GB2312"/>
                <w:kern w:val="0"/>
                <w:sz w:val="32"/>
                <w:szCs w:val="32"/>
              </w:rPr>
              <w:t>深入实施全球引才“521”计划等各类引才引智计划，依托和达创意设计园、圣泓工业设计创意园、乐富智慧园、经纬国际创意产业园等省市两级基地（园区），吸引全球高层次人才及团队携工业设计创业项目落户来杭。举办工业设计高层次人才云聘会，组织瑞德设计、博乐设计、阿里巴巴、网易、海康威视、老板电器等企业在网上设展招聘。完善工业设计师职称评审制度，支持企业建立与职称挂钩的薪酬待遇制度与晋升制度，考虑将工业设计职称列入市级人才评定标准。</w:t>
            </w:r>
            <w:r>
              <w:rPr>
                <w:rFonts w:hint="eastAsia" w:ascii="仿宋" w:hAnsi="仿宋" w:eastAsia="仿宋"/>
                <w:sz w:val="32"/>
                <w:szCs w:val="32"/>
              </w:rPr>
              <w:t>到2025年，新增</w:t>
            </w:r>
            <w:r>
              <w:rPr>
                <w:rFonts w:hint="eastAsia" w:ascii="仿宋" w:hAnsi="仿宋" w:eastAsia="仿宋"/>
                <w:kern w:val="0"/>
                <w:sz w:val="32"/>
                <w:szCs w:val="32"/>
              </w:rPr>
              <w:t>中国设计业十大杰出青年等国家级高端设计人才</w:t>
            </w:r>
            <w:r>
              <w:rPr>
                <w:rFonts w:ascii="仿宋" w:hAnsi="仿宋" w:eastAsia="仿宋"/>
                <w:kern w:val="0"/>
                <w:sz w:val="32"/>
                <w:szCs w:val="32"/>
              </w:rPr>
              <w:t>14</w:t>
            </w:r>
            <w:r>
              <w:rPr>
                <w:rFonts w:hint="eastAsia" w:ascii="仿宋" w:hAnsi="仿宋" w:eastAsia="仿宋"/>
                <w:kern w:val="0"/>
                <w:sz w:val="32"/>
                <w:szCs w:val="32"/>
              </w:rPr>
              <w:t>位，</w:t>
            </w:r>
            <w:r>
              <w:rPr>
                <w:rFonts w:hint="eastAsia" w:ascii="仿宋" w:hAnsi="仿宋" w:eastAsia="仿宋"/>
                <w:sz w:val="32"/>
                <w:szCs w:val="32"/>
              </w:rPr>
              <w:t>培育杭州市工业设计精英人物达175名，认定为杭州市高层次E类人才的工业设计师新增4</w:t>
            </w:r>
            <w:r>
              <w:rPr>
                <w:rFonts w:ascii="仿宋" w:hAnsi="仿宋" w:eastAsia="仿宋"/>
                <w:sz w:val="32"/>
                <w:szCs w:val="32"/>
              </w:rPr>
              <w:t>0</w:t>
            </w:r>
            <w:r>
              <w:rPr>
                <w:rFonts w:hint="eastAsia" w:ascii="仿宋" w:hAnsi="仿宋" w:eastAsia="仿宋"/>
                <w:sz w:val="32"/>
                <w:szCs w:val="32"/>
              </w:rPr>
              <w:t>位。</w:t>
            </w:r>
          </w:p>
        </w:tc>
      </w:tr>
      <w:bookmarkEnd w:id="63"/>
    </w:tbl>
    <w:p/>
    <w:p>
      <w:pPr>
        <w:pStyle w:val="3"/>
        <w:snapToGrid w:val="0"/>
        <w:spacing w:before="0" w:after="0" w:line="360" w:lineRule="auto"/>
        <w:ind w:firstLine="481" w:firstLineChars="150"/>
        <w:rPr>
          <w:rFonts w:ascii="仿宋" w:hAnsi="仿宋" w:eastAsia="仿宋"/>
        </w:rPr>
      </w:pPr>
      <w:bookmarkStart w:id="67" w:name="_Toc2056862701"/>
      <w:bookmarkStart w:id="68" w:name="_Toc73953620"/>
      <w:bookmarkStart w:id="69" w:name="_Hlk62572215"/>
      <w:r>
        <w:rPr>
          <w:rFonts w:hint="eastAsia" w:ascii="仿宋" w:hAnsi="仿宋" w:eastAsia="仿宋"/>
        </w:rPr>
        <w:t>（四）提升产业对接能力，加强辐射带动作用</w:t>
      </w:r>
      <w:bookmarkEnd w:id="67"/>
      <w:bookmarkEnd w:id="68"/>
      <w:r>
        <w:rPr>
          <w:rFonts w:ascii="仿宋" w:hAnsi="仿宋" w:eastAsia="仿宋"/>
        </w:rPr>
        <w:t xml:space="preserve"> </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加速推动工业设计资源接入工业互联网平台，参与“未来工厂”建设，加强工业设计在智能化生产、个性化定制、服务化延伸的创新驱动作用。继续鼓励众包众筹众创等设计制造服务新业态的发展，探索创新创意的知识共享平台建设。支持社会机构举办各种形式的设计对接会，鼓励杭州设计企业“走出去”，打造长三角区域产业高质量发展的设计赋能增长极。加强设计企业与省市两级产业创新服务综合体的融合发展，提升工业设计对重点领域的赋能作用，打造“设计+制造”融合发展的示范标杆。</w:t>
      </w:r>
      <w:r>
        <w:rPr>
          <w:rFonts w:hint="eastAsia" w:ascii="仿宋" w:hAnsi="仿宋" w:eastAsia="仿宋" w:cs="仿宋_GB2312"/>
          <w:kern w:val="0"/>
          <w:sz w:val="32"/>
          <w:szCs w:val="32"/>
        </w:rPr>
        <w:t>鼓励工业设计企业积极参与杭州智慧城市建设，推广新型智慧应用在杭先行先试，强化工业设计对建设美好家园的引领服务作用。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jc w:val="center"/>
              <w:rPr>
                <w:rFonts w:ascii="仿宋" w:hAnsi="仿宋" w:eastAsia="仿宋"/>
                <w:b/>
                <w:bCs/>
                <w:sz w:val="32"/>
                <w:szCs w:val="32"/>
              </w:rPr>
            </w:pPr>
            <w:r>
              <w:rPr>
                <w:rFonts w:hint="eastAsia" w:ascii="仿宋" w:hAnsi="仿宋" w:eastAsia="仿宋"/>
                <w:b/>
                <w:bCs/>
                <w:sz w:val="32"/>
                <w:szCs w:val="32"/>
              </w:rPr>
              <w:t>专栏4</w:t>
            </w:r>
            <w:r>
              <w:rPr>
                <w:rFonts w:ascii="仿宋" w:hAnsi="仿宋" w:eastAsia="仿宋"/>
                <w:b/>
                <w:bCs/>
                <w:sz w:val="32"/>
                <w:szCs w:val="32"/>
              </w:rPr>
              <w:t xml:space="preserve"> </w:t>
            </w:r>
            <w:r>
              <w:rPr>
                <w:rFonts w:hint="eastAsia" w:ascii="仿宋" w:hAnsi="仿宋" w:eastAsia="仿宋" w:cs="仿宋_GB2312"/>
                <w:b/>
                <w:bCs/>
                <w:kern w:val="0"/>
                <w:sz w:val="32"/>
                <w:szCs w:val="32"/>
              </w:rPr>
              <w:t>“杭州设计”峰会与赛事</w:t>
            </w:r>
            <w:r>
              <w:rPr>
                <w:rFonts w:hint="eastAsia" w:ascii="仿宋" w:hAnsi="仿宋" w:eastAsia="仿宋"/>
                <w:b/>
                <w:bCs/>
                <w:sz w:val="32"/>
                <w:szCs w:val="32"/>
              </w:rPr>
              <w:t>提升专项工程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ind w:firstLine="645"/>
              <w:rPr>
                <w:rFonts w:ascii="仿宋" w:hAnsi="仿宋" w:eastAsia="仿宋"/>
                <w:color w:val="000000"/>
                <w:sz w:val="32"/>
                <w:szCs w:val="32"/>
              </w:rPr>
            </w:pPr>
            <w:r>
              <w:rPr>
                <w:rFonts w:hint="eastAsia" w:ascii="仿宋" w:hAnsi="仿宋" w:eastAsia="仿宋" w:cs="仿宋_GB2312"/>
                <w:kern w:val="0"/>
                <w:sz w:val="32"/>
                <w:szCs w:val="32"/>
              </w:rPr>
              <w:t>继续支持云栖大会、AI Cloud国际生态峰会、2050大会、网易未来大会、中国国际丝绸博览会等大型会议的举办，强化杭州工业设计在技术转化、价值提升与布局未来的领先作为。</w:t>
            </w:r>
            <w:r>
              <w:rPr>
                <w:rFonts w:hint="eastAsia" w:ascii="仿宋" w:hAnsi="仿宋" w:eastAsia="仿宋"/>
                <w:kern w:val="0"/>
                <w:sz w:val="32"/>
                <w:szCs w:val="32"/>
              </w:rPr>
              <w:t>继续鼓励DIA</w:t>
            </w:r>
            <w:r>
              <w:rPr>
                <w:rFonts w:hint="eastAsia" w:ascii="仿宋" w:hAnsi="仿宋" w:eastAsia="仿宋"/>
                <w:color w:val="000000"/>
                <w:sz w:val="32"/>
                <w:szCs w:val="32"/>
              </w:rPr>
              <w:t>中国设计智造大奖的举办，推动大奖成果在全国巡回展览，进一步提升大奖的国际声誉。集聚社会资源，加大力度扶持和举办时尚家居、文创产品、健康产品、数字产品创新创业设计大赛，加大力度扶持和举办具有国际影响力的专项设计大赛。到2</w:t>
            </w:r>
            <w:r>
              <w:rPr>
                <w:rFonts w:ascii="仿宋" w:hAnsi="仿宋" w:eastAsia="仿宋"/>
                <w:color w:val="000000"/>
                <w:sz w:val="32"/>
                <w:szCs w:val="32"/>
              </w:rPr>
              <w:t>025</w:t>
            </w:r>
            <w:r>
              <w:rPr>
                <w:rFonts w:hint="eastAsia" w:ascii="仿宋" w:hAnsi="仿宋" w:eastAsia="仿宋"/>
                <w:color w:val="000000"/>
                <w:sz w:val="32"/>
                <w:szCs w:val="32"/>
              </w:rPr>
              <w:t>年，形成设计资源与产业需求精准对接的设计赛事矩阵，将杭州打造成为全国设计会展的高地。</w:t>
            </w:r>
          </w:p>
        </w:tc>
      </w:tr>
      <w:bookmarkEnd w:id="69"/>
    </w:tbl>
    <w:p>
      <w:pPr>
        <w:snapToGrid w:val="0"/>
        <w:spacing w:line="360" w:lineRule="auto"/>
        <w:rPr>
          <w:rFonts w:ascii="仿宋" w:hAnsi="仿宋" w:eastAsia="仿宋"/>
          <w:sz w:val="32"/>
          <w:szCs w:val="32"/>
        </w:rPr>
      </w:pPr>
    </w:p>
    <w:p>
      <w:pPr>
        <w:pStyle w:val="3"/>
        <w:snapToGrid w:val="0"/>
        <w:spacing w:before="0" w:after="0" w:line="360" w:lineRule="auto"/>
        <w:ind w:firstLine="481" w:firstLineChars="150"/>
        <w:rPr>
          <w:rFonts w:ascii="仿宋" w:hAnsi="仿宋" w:eastAsia="仿宋"/>
        </w:rPr>
      </w:pPr>
      <w:bookmarkStart w:id="70" w:name="_Toc73953621"/>
      <w:bookmarkStart w:id="71" w:name="_Toc1647149948"/>
      <w:r>
        <w:rPr>
          <w:rFonts w:hint="eastAsia" w:ascii="仿宋" w:hAnsi="仿宋" w:eastAsia="仿宋"/>
        </w:rPr>
        <w:t>（五）完善公共服务体系，持续优化产业生态</w:t>
      </w:r>
      <w:bookmarkEnd w:id="70"/>
      <w:bookmarkEnd w:id="71"/>
    </w:p>
    <w:p>
      <w:pPr>
        <w:snapToGrid w:val="0"/>
        <w:spacing w:line="360" w:lineRule="auto"/>
        <w:ind w:firstLine="648"/>
        <w:rPr>
          <w:rFonts w:ascii="仿宋" w:hAnsi="仿宋" w:eastAsia="仿宋" w:cs="仿宋_GB2312"/>
          <w:kern w:val="0"/>
          <w:sz w:val="32"/>
          <w:szCs w:val="32"/>
        </w:rPr>
      </w:pPr>
      <w:r>
        <w:rPr>
          <w:rFonts w:hint="eastAsia" w:ascii="仿宋" w:hAnsi="仿宋" w:eastAsia="仿宋"/>
          <w:sz w:val="32"/>
          <w:szCs w:val="32"/>
        </w:rPr>
        <w:t>依托产业集群与创新载体建设专业性的产业公共服务平台，支持有条件的机构建设集合设备共享、数据共享、检验检测、投融资服务、成果交易与转化、市场推广的综合性设计公共服务平台，建立数字化服务系统。鼓励平台、基地与协会创建分布式设计资源共享网络，加速行业内部、行业之间、产业链上下游的创新协同。继续完善产学研协作创新机制，不断深化高校、企业与科研机构的融合创新程度</w:t>
      </w:r>
      <w:r>
        <w:rPr>
          <w:rFonts w:hint="eastAsia" w:ascii="仿宋" w:hAnsi="仿宋" w:eastAsia="仿宋" w:cs="仿宋_GB2312"/>
          <w:kern w:val="0"/>
          <w:sz w:val="32"/>
          <w:szCs w:val="32"/>
        </w:rPr>
        <w:t>。支持设计行业协会开展调查研究、信息咨询、企业评级等工作，</w:t>
      </w:r>
      <w:r>
        <w:rPr>
          <w:rFonts w:hint="eastAsia" w:ascii="仿宋" w:hAnsi="仿宋" w:eastAsia="仿宋"/>
          <w:sz w:val="32"/>
          <w:szCs w:val="32"/>
        </w:rPr>
        <w:t>进一步优化工业设计产业生态。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jc w:val="center"/>
              <w:rPr>
                <w:rFonts w:ascii="仿宋" w:hAnsi="仿宋" w:eastAsia="仿宋"/>
                <w:b/>
                <w:bCs/>
                <w:sz w:val="32"/>
                <w:szCs w:val="32"/>
              </w:rPr>
            </w:pPr>
            <w:r>
              <w:rPr>
                <w:rFonts w:hint="eastAsia" w:ascii="仿宋" w:hAnsi="仿宋" w:eastAsia="仿宋"/>
                <w:b/>
                <w:bCs/>
                <w:sz w:val="32"/>
                <w:szCs w:val="32"/>
              </w:rPr>
              <w:t>专栏5中小微设计企业服务体系优化专项工程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ind w:firstLine="645"/>
              <w:rPr>
                <w:rFonts w:ascii="仿宋" w:hAnsi="仿宋" w:eastAsia="仿宋" w:cs="仿宋_GB2312"/>
                <w:kern w:val="0"/>
                <w:sz w:val="32"/>
                <w:szCs w:val="32"/>
              </w:rPr>
            </w:pPr>
            <w:r>
              <w:rPr>
                <w:rFonts w:hint="eastAsia" w:ascii="仿宋" w:hAnsi="仿宋" w:eastAsia="仿宋" w:cs="仿宋_GB2312"/>
                <w:kern w:val="0"/>
                <w:sz w:val="32"/>
                <w:szCs w:val="32"/>
              </w:rPr>
              <w:t>加大力度扶持中小微设计企业发展。优化“创新券”模式，完善针对设计企业的创新载体认定机制，有效减轻中小企业设计研发投入，注入创新动能。发展“设计+金融”,鼓励有关资本市场</w:t>
            </w:r>
            <w:bookmarkStart w:id="72" w:name="_Hlk62477006"/>
            <w:r>
              <w:rPr>
                <w:rFonts w:hint="eastAsia" w:ascii="仿宋" w:hAnsi="仿宋" w:eastAsia="仿宋" w:cs="仿宋_GB2312"/>
                <w:kern w:val="0"/>
                <w:sz w:val="32"/>
                <w:szCs w:val="32"/>
              </w:rPr>
              <w:t>面向工业设计“双创”成立产业投资基金与投资引导基金</w:t>
            </w:r>
            <w:bookmarkEnd w:id="72"/>
            <w:r>
              <w:rPr>
                <w:rFonts w:hint="eastAsia" w:ascii="仿宋" w:hAnsi="仿宋" w:eastAsia="仿宋" w:cs="仿宋_GB2312"/>
                <w:kern w:val="0"/>
                <w:sz w:val="32"/>
                <w:szCs w:val="32"/>
              </w:rPr>
              <w:t>，考虑将符合条件的工业设计企业纳入科技型中小企业信贷政策支持的范畴。到2</w:t>
            </w:r>
            <w:r>
              <w:rPr>
                <w:rFonts w:ascii="仿宋" w:hAnsi="仿宋" w:eastAsia="仿宋" w:cs="仿宋_GB2312"/>
                <w:kern w:val="0"/>
                <w:sz w:val="32"/>
                <w:szCs w:val="32"/>
              </w:rPr>
              <w:t>025</w:t>
            </w:r>
            <w:r>
              <w:rPr>
                <w:rFonts w:hint="eastAsia" w:ascii="仿宋" w:hAnsi="仿宋" w:eastAsia="仿宋" w:cs="仿宋_GB2312"/>
                <w:kern w:val="0"/>
                <w:sz w:val="32"/>
                <w:szCs w:val="32"/>
              </w:rPr>
              <w:t>年，构建较为完备的中小微设计企业公共服务体系，中小微设计企业成长环境明显优化。</w:t>
            </w:r>
          </w:p>
        </w:tc>
      </w:tr>
    </w:tbl>
    <w:p>
      <w:pPr>
        <w:snapToGrid w:val="0"/>
        <w:spacing w:line="360" w:lineRule="auto"/>
        <w:rPr>
          <w:rFonts w:ascii="仿宋" w:hAnsi="仿宋" w:eastAsia="仿宋"/>
          <w:sz w:val="32"/>
          <w:szCs w:val="32"/>
        </w:rPr>
      </w:pPr>
    </w:p>
    <w:p>
      <w:pPr>
        <w:pStyle w:val="3"/>
        <w:snapToGrid w:val="0"/>
        <w:spacing w:before="0" w:after="0" w:line="360" w:lineRule="auto"/>
        <w:ind w:firstLine="481" w:firstLineChars="150"/>
        <w:rPr>
          <w:rFonts w:ascii="仿宋" w:hAnsi="仿宋" w:eastAsia="仿宋"/>
        </w:rPr>
      </w:pPr>
      <w:bookmarkStart w:id="73" w:name="_Toc437482559"/>
      <w:bookmarkStart w:id="74" w:name="_Toc73953622"/>
      <w:r>
        <w:rPr>
          <w:rFonts w:hint="eastAsia" w:ascii="仿宋" w:hAnsi="仿宋" w:eastAsia="仿宋"/>
        </w:rPr>
        <w:t>（六）加强知识产权保护，提升全民创新意识</w:t>
      </w:r>
      <w:bookmarkEnd w:id="73"/>
      <w:bookmarkEnd w:id="74"/>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严厉打击外观设计专利侵权等违法行为，加强设计类评奖、大赛、展览的知识产权保护，加大侵权的惩戒力度。</w:t>
      </w:r>
      <w:r>
        <w:rPr>
          <w:rFonts w:hint="eastAsia" w:ascii="仿宋" w:hAnsi="仿宋" w:eastAsia="仿宋" w:cs="仿宋_GB2312"/>
          <w:kern w:val="0"/>
          <w:sz w:val="32"/>
          <w:szCs w:val="32"/>
        </w:rPr>
        <w:t>促进知识产权保护的国际协作，加强自我监督，提升杭州设计的国际形象。</w:t>
      </w:r>
      <w:r>
        <w:rPr>
          <w:rFonts w:hint="eastAsia" w:ascii="仿宋" w:hAnsi="仿宋" w:eastAsia="仿宋"/>
          <w:sz w:val="32"/>
          <w:szCs w:val="32"/>
        </w:rPr>
        <w:t>鼓励建设多种形式的工业设计交流和资讯中心、工业设计展示中心和博物馆，加强对中小学生创新意识的培养。依托省级市级媒体加强工业设计成果宣传，介绍杭州龙头设计企业、精英设计师与示范案例，持续提升工业设计价值的认知度、认同度。</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jc w:val="center"/>
              <w:rPr>
                <w:rFonts w:ascii="仿宋" w:hAnsi="仿宋" w:eastAsia="仿宋"/>
                <w:b/>
                <w:bCs/>
                <w:sz w:val="32"/>
                <w:szCs w:val="32"/>
              </w:rPr>
            </w:pPr>
            <w:r>
              <w:rPr>
                <w:rFonts w:hint="eastAsia" w:ascii="仿宋" w:hAnsi="仿宋" w:eastAsia="仿宋"/>
                <w:b/>
                <w:bCs/>
                <w:sz w:val="32"/>
                <w:szCs w:val="32"/>
              </w:rPr>
              <w:t>专栏6 工业设计知识产权管理升级专项工程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napToGrid w:val="0"/>
              <w:spacing w:line="360" w:lineRule="auto"/>
              <w:rPr>
                <w:rFonts w:ascii="仿宋" w:hAnsi="仿宋" w:eastAsia="仿宋" w:cs="仿宋_GB2312"/>
                <w:kern w:val="0"/>
                <w:sz w:val="32"/>
                <w:szCs w:val="32"/>
              </w:rPr>
            </w:pPr>
            <w:r>
              <w:rPr>
                <w:rFonts w:hint="eastAsia" w:ascii="仿宋" w:hAnsi="仿宋" w:eastAsia="仿宋"/>
                <w:sz w:val="32"/>
                <w:szCs w:val="32"/>
              </w:rPr>
              <w:t xml:space="preserve">    </w:t>
            </w:r>
            <w:r>
              <w:rPr>
                <w:rFonts w:hint="eastAsia" w:ascii="仿宋" w:hAnsi="仿宋" w:eastAsia="仿宋" w:cs="仿宋_GB2312"/>
                <w:kern w:val="0"/>
                <w:sz w:val="32"/>
                <w:szCs w:val="32"/>
              </w:rPr>
              <w:t>支持</w:t>
            </w:r>
            <w:bookmarkStart w:id="75" w:name="_Hlk62476644"/>
            <w:r>
              <w:rPr>
                <w:rFonts w:hint="eastAsia" w:ascii="仿宋" w:hAnsi="仿宋" w:eastAsia="仿宋" w:cs="仿宋_GB2312"/>
                <w:kern w:val="0"/>
                <w:sz w:val="32"/>
                <w:szCs w:val="32"/>
              </w:rPr>
              <w:t>工业设计知识产权优先审查，</w:t>
            </w:r>
            <w:r>
              <w:rPr>
                <w:rFonts w:hint="eastAsia" w:ascii="仿宋" w:hAnsi="仿宋" w:eastAsia="仿宋"/>
                <w:sz w:val="32"/>
                <w:szCs w:val="32"/>
              </w:rPr>
              <w:t>探索</w:t>
            </w:r>
            <w:bookmarkStart w:id="76" w:name="_Hlk62476673"/>
            <w:r>
              <w:rPr>
                <w:rFonts w:hint="eastAsia" w:ascii="仿宋" w:hAnsi="仿宋" w:eastAsia="仿宋"/>
                <w:sz w:val="32"/>
                <w:szCs w:val="32"/>
              </w:rPr>
              <w:t>工业设计知识产权保护“直通车”机制</w:t>
            </w:r>
            <w:bookmarkEnd w:id="76"/>
            <w:r>
              <w:rPr>
                <w:rFonts w:hint="eastAsia" w:ascii="仿宋" w:hAnsi="仿宋" w:eastAsia="仿宋"/>
                <w:sz w:val="32"/>
                <w:szCs w:val="32"/>
              </w:rPr>
              <w:t>，开发设计知识产权在线管理、监督、维护的一体化平台，</w:t>
            </w:r>
            <w:bookmarkEnd w:id="75"/>
            <w:r>
              <w:rPr>
                <w:rFonts w:hint="eastAsia" w:ascii="仿宋" w:hAnsi="仿宋" w:eastAsia="仿宋"/>
                <w:sz w:val="32"/>
                <w:szCs w:val="32"/>
              </w:rPr>
              <w:t>降低维权成本，维护行业竞争秩序。</w:t>
            </w:r>
            <w:r>
              <w:rPr>
                <w:rFonts w:hint="eastAsia" w:ascii="仿宋" w:hAnsi="仿宋" w:eastAsia="仿宋" w:cs="仿宋_GB2312"/>
                <w:kern w:val="0"/>
                <w:sz w:val="32"/>
                <w:szCs w:val="32"/>
              </w:rPr>
              <w:t>支持专业机构面向设计行业共性需求，开展知识产权托管服务。鼓励龙头企业建设基于区块链技术的设计行业交易平台，探索更为完善的成果共享机制。加强外观设计专利领域知识产权行政保护，建立外观设计领域知识产权信用监督机制。到2</w:t>
            </w:r>
            <w:r>
              <w:rPr>
                <w:rFonts w:ascii="仿宋" w:hAnsi="仿宋" w:eastAsia="仿宋" w:cs="仿宋_GB2312"/>
                <w:kern w:val="0"/>
                <w:sz w:val="32"/>
                <w:szCs w:val="32"/>
              </w:rPr>
              <w:t>025</w:t>
            </w:r>
            <w:r>
              <w:rPr>
                <w:rFonts w:hint="eastAsia" w:ascii="仿宋" w:hAnsi="仿宋" w:eastAsia="仿宋" w:cs="仿宋_GB2312"/>
                <w:kern w:val="0"/>
                <w:sz w:val="32"/>
                <w:szCs w:val="32"/>
              </w:rPr>
              <w:t>年，将杭州打造成为工业设计知识产权管理的全国标杆城市。</w:t>
            </w:r>
          </w:p>
        </w:tc>
      </w:tr>
    </w:tbl>
    <w:p/>
    <w:p>
      <w:pPr>
        <w:pStyle w:val="2"/>
        <w:snapToGrid w:val="0"/>
        <w:spacing w:before="0" w:after="0" w:line="360" w:lineRule="auto"/>
        <w:ind w:firstLine="642" w:firstLineChars="200"/>
        <w:jc w:val="both"/>
        <w:rPr>
          <w:rFonts w:ascii="仿宋" w:hAnsi="仿宋" w:eastAsia="仿宋"/>
          <w:sz w:val="32"/>
          <w:szCs w:val="32"/>
        </w:rPr>
      </w:pPr>
      <w:bookmarkStart w:id="77" w:name="_Toc73953623"/>
      <w:bookmarkStart w:id="78" w:name="_Toc1932845432"/>
      <w:r>
        <w:rPr>
          <w:rFonts w:hint="eastAsia" w:ascii="仿宋" w:hAnsi="仿宋" w:eastAsia="仿宋"/>
          <w:sz w:val="32"/>
          <w:szCs w:val="32"/>
        </w:rPr>
        <w:t>五、保障措施</w:t>
      </w:r>
      <w:bookmarkEnd w:id="77"/>
      <w:bookmarkEnd w:id="78"/>
    </w:p>
    <w:p>
      <w:pPr>
        <w:pStyle w:val="3"/>
        <w:snapToGrid w:val="0"/>
        <w:spacing w:before="0" w:after="0" w:line="360" w:lineRule="auto"/>
        <w:ind w:firstLine="481" w:firstLineChars="150"/>
        <w:rPr>
          <w:rFonts w:ascii="仿宋" w:hAnsi="仿宋" w:eastAsia="仿宋"/>
        </w:rPr>
      </w:pPr>
      <w:bookmarkStart w:id="79" w:name="_Toc73953624"/>
      <w:bookmarkStart w:id="80" w:name="_Toc348047455"/>
      <w:r>
        <w:rPr>
          <w:rFonts w:hint="eastAsia" w:ascii="仿宋" w:hAnsi="仿宋" w:eastAsia="仿宋"/>
        </w:rPr>
        <w:t>（一）加强组织领导</w:t>
      </w:r>
      <w:bookmarkEnd w:id="79"/>
      <w:bookmarkEnd w:id="80"/>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围绕杭州市工业设计发展工作领导小组，完善领导机制和工作机制。加强杭州市工业设计协会的组织架构和职能，充分发挥协调作用。推进设计创新融入所有政策，加强财政、金融、用地等相关要素的保障。</w:t>
      </w:r>
    </w:p>
    <w:p>
      <w:pPr>
        <w:pStyle w:val="3"/>
        <w:snapToGrid w:val="0"/>
        <w:spacing w:before="0" w:after="0" w:line="360" w:lineRule="auto"/>
        <w:ind w:firstLine="481" w:firstLineChars="150"/>
        <w:rPr>
          <w:rFonts w:ascii="仿宋" w:hAnsi="仿宋" w:eastAsia="仿宋"/>
        </w:rPr>
      </w:pPr>
      <w:bookmarkStart w:id="81" w:name="_Toc73953625"/>
      <w:bookmarkStart w:id="82" w:name="_Toc2035605404"/>
      <w:r>
        <w:rPr>
          <w:rFonts w:hint="eastAsia" w:ascii="仿宋" w:hAnsi="仿宋" w:eastAsia="仿宋"/>
        </w:rPr>
        <w:t>（二）强化工作落实</w:t>
      </w:r>
      <w:bookmarkEnd w:id="81"/>
      <w:bookmarkEnd w:id="82"/>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强化工业设计产业规划与其他产业发展规划的融合推进，分年度予以实施。加强各区、县（市）、各部门协作联动，明确职责分工，保证各项任务落实到位。推动建立部省市三级会商机制，积极争取国家、省工业设计领域资源向杭州部署。</w:t>
      </w:r>
    </w:p>
    <w:p>
      <w:pPr>
        <w:pStyle w:val="3"/>
        <w:snapToGrid w:val="0"/>
        <w:spacing w:before="0" w:after="0" w:line="360" w:lineRule="auto"/>
        <w:ind w:firstLine="481" w:firstLineChars="150"/>
        <w:rPr>
          <w:rFonts w:ascii="仿宋" w:hAnsi="仿宋" w:eastAsia="仿宋"/>
        </w:rPr>
      </w:pPr>
      <w:bookmarkStart w:id="83" w:name="_Toc73953626"/>
      <w:bookmarkStart w:id="84" w:name="_Toc858044671"/>
      <w:r>
        <w:rPr>
          <w:rFonts w:hint="eastAsia" w:ascii="仿宋" w:hAnsi="仿宋" w:eastAsia="仿宋"/>
        </w:rPr>
        <w:t>（三）完善行业监测</w:t>
      </w:r>
      <w:bookmarkEnd w:id="83"/>
      <w:bookmarkEnd w:id="84"/>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建立与完善杭州工业设计重点企业库与案例库，强化日常统计、运行监测和综合评价，加强第三方评估，完善杭州工业设计发展指标体系，建立科学、合理、统一的监测体系，适时发布监测评估报告。</w:t>
      </w:r>
    </w:p>
    <w:p>
      <w:pPr>
        <w:pStyle w:val="3"/>
        <w:snapToGrid w:val="0"/>
        <w:spacing w:before="0" w:after="0" w:line="360" w:lineRule="auto"/>
        <w:ind w:firstLine="481" w:firstLineChars="150"/>
        <w:rPr>
          <w:rFonts w:ascii="仿宋" w:hAnsi="仿宋" w:eastAsia="仿宋"/>
        </w:rPr>
      </w:pPr>
      <w:bookmarkStart w:id="85" w:name="_Toc73953627"/>
      <w:bookmarkStart w:id="86" w:name="_Toc804095892"/>
      <w:r>
        <w:rPr>
          <w:rFonts w:hint="eastAsia" w:ascii="仿宋" w:hAnsi="仿宋" w:eastAsia="仿宋"/>
        </w:rPr>
        <w:t>（四）加强宣传引导</w:t>
      </w:r>
      <w:bookmarkEnd w:id="85"/>
      <w:bookmarkEnd w:id="86"/>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通过各类媒体加强对工业设计发展政策解读与宣传引导，总结推广成功经验。开展广泛的设计思维及创新战略宣传与培训，提高全社会对工业设计的关注度，讲好杭州设计故事，打造杭州设计品牌。</w:t>
      </w:r>
    </w:p>
    <w:p/>
    <w:p/>
    <w:p/>
    <w:p/>
    <w:p/>
    <w:p/>
    <w:p>
      <w:pPr>
        <w:widowControl/>
        <w:jc w:val="left"/>
      </w:pPr>
      <w:r>
        <w:br w:type="page"/>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pacing w:line="600" w:lineRule="exact"/>
        <w:rPr>
          <w:rFonts w:hint="eastAsia" w:ascii="黑体" w:hAnsi="宋体" w:eastAsia="黑体"/>
          <w:b/>
          <w:color w:val="000000"/>
          <w:sz w:val="32"/>
          <w:szCs w:val="32"/>
        </w:rPr>
      </w:pPr>
    </w:p>
    <w:p>
      <w:pPr>
        <w:spacing w:line="600" w:lineRule="exact"/>
        <w:ind w:left="1079" w:hanging="1079" w:hangingChars="336"/>
        <w:rPr>
          <w:rFonts w:hint="eastAsia" w:ascii="仿宋_GB2312" w:hAnsi="宋体" w:eastAsia="仿宋_GB2312" w:cs="仿宋_GB2312"/>
          <w:sz w:val="28"/>
          <w:szCs w:val="28"/>
        </w:rPr>
      </w:pPr>
      <w:r>
        <w:rPr>
          <w:rFonts w:ascii="黑体" w:hAnsi="宋体" w:eastAsia="黑体"/>
          <w:b/>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3721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2pt;height:0pt;width:423pt;z-index:251659264;mso-width-relative:page;mso-height-relative:page;" filled="f" stroked="t" coordsize="21600,21600" o:gfxdata="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u&#10;nBvA0QAAAAQBAAAPAAAAAAAAAAEAIAAAADgAAABkcnMvZG93bnJldi54bWxQSwECFAAUAAAACACH&#10;TuJAtOc2ktwBAACaAwAADgAAAAAAAAABACAAAAA2AQAAZHJzL2Uyb0RvYy54bWxQSwUGAAAAAAYA&#10;BgBZAQAAhAUAAAAA&#10;">
                <v:fill on="f" focussize="0,0"/>
                <v:stroke weight="1.5pt" color="#000000" joinstyle="round"/>
                <v:imagedata o:title=""/>
                <o:lock v:ext="edit" aspectratio="f"/>
              </v:line>
            </w:pict>
          </mc:Fallback>
        </mc:AlternateContent>
      </w:r>
      <w:r>
        <w:rPr>
          <w:rFonts w:hint="eastAsia" w:ascii="仿宋_GB2312" w:hAnsi="宋体" w:eastAsia="仿宋_GB2312" w:cs="仿宋_GB2312"/>
          <w:sz w:val="28"/>
          <w:szCs w:val="28"/>
        </w:rPr>
        <w:t xml:space="preserve"> 抄送:</w:t>
      </w:r>
      <w:bookmarkStart w:id="87" w:name="copysend"/>
      <w:r>
        <w:rPr>
          <w:rFonts w:hint="eastAsia" w:ascii="仿宋_GB2312" w:hAnsi="宋体" w:eastAsia="仿宋_GB2312" w:cs="仿宋_GB2312"/>
          <w:sz w:val="28"/>
          <w:szCs w:val="28"/>
          <w:lang w:eastAsia="zh-CN"/>
        </w:rPr>
        <w:t>市委宣传部（市文创中</w:t>
      </w:r>
      <w:r>
        <w:rPr>
          <w:rFonts w:hint="eastAsia" w:ascii="仿宋_GB2312" w:hAnsi="宋体" w:eastAsia="仿宋_GB2312" w:cs="仿宋_GB2312"/>
          <w:sz w:val="28"/>
          <w:szCs w:val="28"/>
          <w:lang w:val="en-US" w:eastAsia="zh-CN"/>
        </w:rPr>
        <w:t>心</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市发改委、市财政局、市统计局</w:t>
      </w:r>
      <w:bookmarkEnd w:id="87"/>
      <w:r>
        <w:rPr>
          <w:rFonts w:hint="eastAsia" w:ascii="仿宋_GB2312" w:hAnsi="宋体" w:eastAsia="仿宋_GB2312" w:cs="仿宋_GB2312"/>
          <w:sz w:val="28"/>
          <w:szCs w:val="28"/>
        </w:rPr>
        <w:t>。</w:t>
      </w:r>
    </w:p>
    <w:p>
      <w:pPr>
        <w:spacing w:line="600" w:lineRule="exact"/>
        <w:ind w:firstLine="241" w:firstLineChars="100"/>
        <w:rPr>
          <w:rFonts w:hint="eastAsia" w:ascii="仿宋" w:hAnsi="仿宋" w:eastAsia="仿宋"/>
          <w:sz w:val="32"/>
          <w:szCs w:val="32"/>
        </w:rPr>
      </w:pPr>
      <w:r>
        <w:rPr>
          <w:rFonts w:ascii="黑体" w:hAnsi="宋体" w:eastAsia="黑体"/>
          <w:b/>
          <w:color w:val="000000"/>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426720</wp:posOffset>
                </wp:positionV>
                <wp:extent cx="53721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3.6pt;height:0pt;width:423pt;z-index:251661312;mso-width-relative:page;mso-height-relative:page;" filled="f" stroked="t" coordsize="21600,21600" o:gfxdata="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DLL49HTAAAABgEAAA8AAAAAAAAAAQAgAAAAOAAAAGRycy9kb3ducmV2LnhtbFBLAQIUABQAAAAI&#10;AIdO4kDJQIMM3AEAAJoDAAAOAAAAAAAAAAEAIAAAADgBAABkcnMvZTJvRG9jLnhtbFBLBQYAAAAA&#10;BgAGAFkBAACGBQAAAAA=&#10;">
                <v:fill on="f" focussize="0,0"/>
                <v:stroke weight="1.5pt" color="#000000" joinstyle="round"/>
                <v:imagedata o:title=""/>
                <o:lock v:ext="edit" aspectratio="f"/>
              </v:line>
            </w:pict>
          </mc:Fallback>
        </mc:AlternateContent>
      </w:r>
      <w:r>
        <w:rPr>
          <w:rFonts w:ascii="黑体" w:hAnsi="宋体" w:eastAsia="黑体"/>
          <w:b/>
          <w:color w:val="000000"/>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4pt;height:0pt;width:423pt;z-index:251660288;mso-width-relative:page;mso-height-relative:page;" filled="f" stroked="t" coordsize="21600,21600" o:gfxdata="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2&#10;o1tq0QAAAAQBAAAPAAAAAAAAAAEAIAAAADgAAABkcnMvZG93bnJldi54bWxQSwECFAAUAAAACACH&#10;TuJAC2Dq6dwBAACZAwAADgAAAAAAAAABACAAAAA2AQAAZHJzL2Uyb0RvYy54bWxQSwUGAAAAAAYA&#10;BgBZAQAAhAUAAAAA&#10;">
                <v:fill on="f" focussize="0,0"/>
                <v:stroke color="#000000" joinstyle="round"/>
                <v:imagedata o:title=""/>
                <o:lock v:ext="edit" aspectratio="f"/>
              </v:line>
            </w:pict>
          </mc:Fallback>
        </mc:AlternateContent>
      </w:r>
      <w:r>
        <w:rPr>
          <w:rFonts w:hint="eastAsia" w:ascii="仿宋_GB2312" w:hAnsi="宋体" w:eastAsia="仿宋_GB2312"/>
          <w:color w:val="000000"/>
          <w:spacing w:val="-20"/>
          <w:sz w:val="28"/>
          <w:szCs w:val="28"/>
        </w:rPr>
        <w:t>杭州市经济和信息化</w:t>
      </w:r>
      <w:r>
        <w:rPr>
          <w:rFonts w:hint="eastAsia" w:ascii="仿宋_GB2312" w:hAnsi="宋体" w:eastAsia="仿宋_GB2312"/>
          <w:color w:val="000000"/>
          <w:spacing w:val="-20"/>
          <w:sz w:val="28"/>
          <w:szCs w:val="28"/>
          <w:lang w:eastAsia="zh-CN"/>
        </w:rPr>
        <w:t>局</w:t>
      </w:r>
      <w:r>
        <w:rPr>
          <w:rFonts w:hint="eastAsia" w:ascii="仿宋_GB2312" w:hAnsi="宋体" w:eastAsia="仿宋_GB2312"/>
          <w:color w:val="000000"/>
          <w:spacing w:val="-20"/>
          <w:sz w:val="28"/>
          <w:szCs w:val="28"/>
        </w:rPr>
        <w:t>办公室</w:t>
      </w: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 xml:space="preserve">         </w:t>
      </w:r>
      <w:bookmarkStart w:id="88" w:name="year"/>
      <w:r>
        <w:rPr>
          <w:rFonts w:ascii="仿宋_GB2312" w:hAnsi="宋体" w:eastAsia="仿宋_GB2312"/>
          <w:color w:val="000000"/>
          <w:sz w:val="28"/>
          <w:szCs w:val="28"/>
        </w:rPr>
        <w:t>20</w:t>
      </w:r>
      <w:r>
        <w:rPr>
          <w:rFonts w:hint="eastAsia" w:ascii="仿宋_GB2312" w:hAnsi="宋体" w:eastAsia="仿宋_GB2312"/>
          <w:color w:val="000000"/>
          <w:sz w:val="28"/>
          <w:szCs w:val="28"/>
          <w:lang w:val="en-US" w:eastAsia="zh-CN"/>
        </w:rPr>
        <w:t>2</w:t>
      </w:r>
      <w:r>
        <w:rPr>
          <w:rFonts w:ascii="仿宋_GB2312" w:hAnsi="宋体" w:eastAsia="仿宋_GB2312"/>
          <w:color w:val="000000"/>
          <w:sz w:val="28"/>
          <w:szCs w:val="28"/>
        </w:rPr>
        <w:t>1</w:t>
      </w:r>
      <w:bookmarkEnd w:id="88"/>
      <w:bookmarkStart w:id="89" w:name="month"/>
      <w:r>
        <w:rPr>
          <w:rFonts w:hint="eastAsia" w:ascii="仿宋_GB2312" w:hAnsi="宋体" w:eastAsia="仿宋_GB2312"/>
          <w:color w:val="000000"/>
          <w:sz w:val="28"/>
          <w:szCs w:val="28"/>
          <w:lang w:val="en-US" w:eastAsia="zh-CN"/>
        </w:rPr>
        <w:t>年</w:t>
      </w:r>
      <w:bookmarkEnd w:id="89"/>
      <w:r>
        <w:rPr>
          <w:rFonts w:hint="eastAsia" w:ascii="仿宋_GB2312" w:hAnsi="宋体" w:eastAsia="仿宋_GB2312"/>
          <w:color w:val="000000"/>
          <w:sz w:val="28"/>
          <w:szCs w:val="28"/>
          <w:lang w:val="en-US" w:eastAsia="zh-CN"/>
        </w:rPr>
        <w:t>7</w:t>
      </w:r>
      <w:bookmarkStart w:id="90" w:name="_GoBack"/>
      <w:bookmarkEnd w:id="90"/>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28</w:t>
      </w:r>
      <w:r>
        <w:rPr>
          <w:rFonts w:hint="eastAsia" w:ascii="仿宋_GB2312" w:hAnsi="宋体" w:eastAsia="仿宋_GB2312"/>
          <w:color w:val="000000"/>
          <w:sz w:val="28"/>
          <w:szCs w:val="28"/>
        </w:rPr>
        <w:t>日印发</w:t>
      </w:r>
    </w:p>
    <w:p>
      <w:pPr>
        <w:snapToGrid w:val="0"/>
        <w:spacing w:line="360" w:lineRule="auto"/>
        <w:rPr>
          <w:rFonts w:ascii="仿宋" w:hAnsi="仿宋" w:eastAsia="仿宋"/>
          <w:b/>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中宋"/>
    <w:panose1 w:val="02010600030101010101"/>
    <w:charset w:val="86"/>
    <w:family w:val="auto"/>
    <w:pitch w:val="default"/>
    <w:sig w:usb0="00000000" w:usb1="00000000" w:usb2="00000016" w:usb3="00000000" w:csb0="0004000F" w:csb1="00000000"/>
  </w:font>
  <w:font w:name="小标宋">
    <w:altName w:val="方正小标宋_GBK"/>
    <w:panose1 w:val="03000509000000000000"/>
    <w:charset w:val="00"/>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1403707"/>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B6"/>
    <w:rsid w:val="00002823"/>
    <w:rsid w:val="00004D98"/>
    <w:rsid w:val="00023305"/>
    <w:rsid w:val="00025546"/>
    <w:rsid w:val="00036DCC"/>
    <w:rsid w:val="00050C3A"/>
    <w:rsid w:val="00051C06"/>
    <w:rsid w:val="00054913"/>
    <w:rsid w:val="00060F31"/>
    <w:rsid w:val="000624D4"/>
    <w:rsid w:val="00063A1D"/>
    <w:rsid w:val="00066AE4"/>
    <w:rsid w:val="00074DEF"/>
    <w:rsid w:val="000846ED"/>
    <w:rsid w:val="000A1A23"/>
    <w:rsid w:val="000A4C93"/>
    <w:rsid w:val="000B482F"/>
    <w:rsid w:val="000B7758"/>
    <w:rsid w:val="000C1650"/>
    <w:rsid w:val="000C4C63"/>
    <w:rsid w:val="000C515B"/>
    <w:rsid w:val="000C535C"/>
    <w:rsid w:val="000D3B0F"/>
    <w:rsid w:val="000D6816"/>
    <w:rsid w:val="000D7D67"/>
    <w:rsid w:val="000E0F03"/>
    <w:rsid w:val="000E4BAC"/>
    <w:rsid w:val="000F0D86"/>
    <w:rsid w:val="000F1651"/>
    <w:rsid w:val="000F5610"/>
    <w:rsid w:val="001024F7"/>
    <w:rsid w:val="00104653"/>
    <w:rsid w:val="00104E68"/>
    <w:rsid w:val="001208F7"/>
    <w:rsid w:val="00122BB0"/>
    <w:rsid w:val="00130369"/>
    <w:rsid w:val="00131D65"/>
    <w:rsid w:val="00134D67"/>
    <w:rsid w:val="001444F7"/>
    <w:rsid w:val="001522D6"/>
    <w:rsid w:val="00152E77"/>
    <w:rsid w:val="00154426"/>
    <w:rsid w:val="00156DE4"/>
    <w:rsid w:val="001601AF"/>
    <w:rsid w:val="001614BB"/>
    <w:rsid w:val="00162558"/>
    <w:rsid w:val="0017032E"/>
    <w:rsid w:val="00170D40"/>
    <w:rsid w:val="00170E99"/>
    <w:rsid w:val="00176BE3"/>
    <w:rsid w:val="001778CD"/>
    <w:rsid w:val="001938C6"/>
    <w:rsid w:val="001962AC"/>
    <w:rsid w:val="001A0F07"/>
    <w:rsid w:val="001A1868"/>
    <w:rsid w:val="001A1C1D"/>
    <w:rsid w:val="001A5692"/>
    <w:rsid w:val="001C3BC3"/>
    <w:rsid w:val="001D5B1A"/>
    <w:rsid w:val="001D64CD"/>
    <w:rsid w:val="001E0AAC"/>
    <w:rsid w:val="001E17B7"/>
    <w:rsid w:val="001F5E7B"/>
    <w:rsid w:val="001F7E1A"/>
    <w:rsid w:val="002016B4"/>
    <w:rsid w:val="002022EA"/>
    <w:rsid w:val="00215281"/>
    <w:rsid w:val="00225089"/>
    <w:rsid w:val="002268E7"/>
    <w:rsid w:val="00235A4E"/>
    <w:rsid w:val="00236DD2"/>
    <w:rsid w:val="00242802"/>
    <w:rsid w:val="0025132A"/>
    <w:rsid w:val="00254AEE"/>
    <w:rsid w:val="0026075D"/>
    <w:rsid w:val="00260ADD"/>
    <w:rsid w:val="002628F7"/>
    <w:rsid w:val="00263B74"/>
    <w:rsid w:val="00265152"/>
    <w:rsid w:val="00271142"/>
    <w:rsid w:val="00271532"/>
    <w:rsid w:val="00271BAB"/>
    <w:rsid w:val="00274BAE"/>
    <w:rsid w:val="002756D0"/>
    <w:rsid w:val="00281223"/>
    <w:rsid w:val="0028410B"/>
    <w:rsid w:val="00284AD1"/>
    <w:rsid w:val="002858F1"/>
    <w:rsid w:val="002931D2"/>
    <w:rsid w:val="002A4D16"/>
    <w:rsid w:val="002A768E"/>
    <w:rsid w:val="002A77F4"/>
    <w:rsid w:val="002B2977"/>
    <w:rsid w:val="002C6E49"/>
    <w:rsid w:val="002D2F9E"/>
    <w:rsid w:val="002E0D0A"/>
    <w:rsid w:val="002E4188"/>
    <w:rsid w:val="002E6559"/>
    <w:rsid w:val="002F387F"/>
    <w:rsid w:val="002F39BA"/>
    <w:rsid w:val="00303CC7"/>
    <w:rsid w:val="00310B6D"/>
    <w:rsid w:val="00316F80"/>
    <w:rsid w:val="0032677A"/>
    <w:rsid w:val="00327AA6"/>
    <w:rsid w:val="00327B9D"/>
    <w:rsid w:val="0033377D"/>
    <w:rsid w:val="003437F9"/>
    <w:rsid w:val="00343A56"/>
    <w:rsid w:val="00354C35"/>
    <w:rsid w:val="00354CB6"/>
    <w:rsid w:val="00355B49"/>
    <w:rsid w:val="00364F2F"/>
    <w:rsid w:val="003765A1"/>
    <w:rsid w:val="00377A6D"/>
    <w:rsid w:val="003866B0"/>
    <w:rsid w:val="003915AE"/>
    <w:rsid w:val="003937EA"/>
    <w:rsid w:val="00395906"/>
    <w:rsid w:val="00396582"/>
    <w:rsid w:val="00397C94"/>
    <w:rsid w:val="003A2389"/>
    <w:rsid w:val="003A2BC6"/>
    <w:rsid w:val="003A7036"/>
    <w:rsid w:val="003B3E5D"/>
    <w:rsid w:val="003B4AB2"/>
    <w:rsid w:val="003C5039"/>
    <w:rsid w:val="003C6CDF"/>
    <w:rsid w:val="003D1294"/>
    <w:rsid w:val="003D3460"/>
    <w:rsid w:val="003D562B"/>
    <w:rsid w:val="003D6E64"/>
    <w:rsid w:val="003E4356"/>
    <w:rsid w:val="003E4D91"/>
    <w:rsid w:val="003E510B"/>
    <w:rsid w:val="003F0CB5"/>
    <w:rsid w:val="003F1679"/>
    <w:rsid w:val="003F3DAA"/>
    <w:rsid w:val="003F4974"/>
    <w:rsid w:val="003F59EA"/>
    <w:rsid w:val="003F774C"/>
    <w:rsid w:val="00403EF6"/>
    <w:rsid w:val="00407C6B"/>
    <w:rsid w:val="00410795"/>
    <w:rsid w:val="0042476E"/>
    <w:rsid w:val="00442A06"/>
    <w:rsid w:val="00457BE5"/>
    <w:rsid w:val="0047158D"/>
    <w:rsid w:val="004801AA"/>
    <w:rsid w:val="00483923"/>
    <w:rsid w:val="00494785"/>
    <w:rsid w:val="004A3BC8"/>
    <w:rsid w:val="004B7597"/>
    <w:rsid w:val="004C5034"/>
    <w:rsid w:val="004D67FC"/>
    <w:rsid w:val="004E7283"/>
    <w:rsid w:val="004E789A"/>
    <w:rsid w:val="004E7D33"/>
    <w:rsid w:val="005024CE"/>
    <w:rsid w:val="00511F00"/>
    <w:rsid w:val="0051746A"/>
    <w:rsid w:val="0052302F"/>
    <w:rsid w:val="0052441E"/>
    <w:rsid w:val="00526C6D"/>
    <w:rsid w:val="00531C99"/>
    <w:rsid w:val="00533212"/>
    <w:rsid w:val="005421E8"/>
    <w:rsid w:val="00543930"/>
    <w:rsid w:val="00546716"/>
    <w:rsid w:val="00546D71"/>
    <w:rsid w:val="00551921"/>
    <w:rsid w:val="005556E2"/>
    <w:rsid w:val="00557828"/>
    <w:rsid w:val="005662A9"/>
    <w:rsid w:val="00570BA7"/>
    <w:rsid w:val="00571180"/>
    <w:rsid w:val="00574237"/>
    <w:rsid w:val="005750B2"/>
    <w:rsid w:val="00575D12"/>
    <w:rsid w:val="00587B51"/>
    <w:rsid w:val="0059571E"/>
    <w:rsid w:val="0059705C"/>
    <w:rsid w:val="005B1FB4"/>
    <w:rsid w:val="005B2677"/>
    <w:rsid w:val="005B5D50"/>
    <w:rsid w:val="005C4FD0"/>
    <w:rsid w:val="005E0DF9"/>
    <w:rsid w:val="005E532D"/>
    <w:rsid w:val="005F1A8A"/>
    <w:rsid w:val="005F2A39"/>
    <w:rsid w:val="005F2A47"/>
    <w:rsid w:val="005F650F"/>
    <w:rsid w:val="00601D60"/>
    <w:rsid w:val="00602842"/>
    <w:rsid w:val="006034B5"/>
    <w:rsid w:val="00604017"/>
    <w:rsid w:val="00613622"/>
    <w:rsid w:val="0062798E"/>
    <w:rsid w:val="00634ED3"/>
    <w:rsid w:val="00641952"/>
    <w:rsid w:val="00646AAE"/>
    <w:rsid w:val="006503F4"/>
    <w:rsid w:val="0065224B"/>
    <w:rsid w:val="00662195"/>
    <w:rsid w:val="00663380"/>
    <w:rsid w:val="0067387B"/>
    <w:rsid w:val="00674DE2"/>
    <w:rsid w:val="006823F2"/>
    <w:rsid w:val="006842E2"/>
    <w:rsid w:val="006921C3"/>
    <w:rsid w:val="006936EF"/>
    <w:rsid w:val="00693C67"/>
    <w:rsid w:val="0069783D"/>
    <w:rsid w:val="006A26F9"/>
    <w:rsid w:val="006A300A"/>
    <w:rsid w:val="006A7B4E"/>
    <w:rsid w:val="006B2D86"/>
    <w:rsid w:val="006B3F36"/>
    <w:rsid w:val="006C074E"/>
    <w:rsid w:val="006C2707"/>
    <w:rsid w:val="006C7BA2"/>
    <w:rsid w:val="006E689F"/>
    <w:rsid w:val="006E68C8"/>
    <w:rsid w:val="006F087A"/>
    <w:rsid w:val="0070134A"/>
    <w:rsid w:val="00703FD6"/>
    <w:rsid w:val="00714B2C"/>
    <w:rsid w:val="007204BC"/>
    <w:rsid w:val="007213C8"/>
    <w:rsid w:val="00723431"/>
    <w:rsid w:val="00723717"/>
    <w:rsid w:val="0072615B"/>
    <w:rsid w:val="007267B9"/>
    <w:rsid w:val="00733CBB"/>
    <w:rsid w:val="007365BC"/>
    <w:rsid w:val="00737082"/>
    <w:rsid w:val="00746F33"/>
    <w:rsid w:val="00756E08"/>
    <w:rsid w:val="00763EC6"/>
    <w:rsid w:val="00764E33"/>
    <w:rsid w:val="00766F2A"/>
    <w:rsid w:val="007722F0"/>
    <w:rsid w:val="00780180"/>
    <w:rsid w:val="00785249"/>
    <w:rsid w:val="007871C5"/>
    <w:rsid w:val="007922A3"/>
    <w:rsid w:val="00793E29"/>
    <w:rsid w:val="007A2487"/>
    <w:rsid w:val="007A3586"/>
    <w:rsid w:val="007A57C8"/>
    <w:rsid w:val="007B5FE4"/>
    <w:rsid w:val="007C00BA"/>
    <w:rsid w:val="007C17A0"/>
    <w:rsid w:val="007D495C"/>
    <w:rsid w:val="007D4B19"/>
    <w:rsid w:val="007E1535"/>
    <w:rsid w:val="007E2508"/>
    <w:rsid w:val="007E3F0A"/>
    <w:rsid w:val="007E5E4D"/>
    <w:rsid w:val="007E6A99"/>
    <w:rsid w:val="007F2D24"/>
    <w:rsid w:val="007F7C27"/>
    <w:rsid w:val="0080000E"/>
    <w:rsid w:val="00802733"/>
    <w:rsid w:val="00804C40"/>
    <w:rsid w:val="0080639B"/>
    <w:rsid w:val="00806435"/>
    <w:rsid w:val="0080644F"/>
    <w:rsid w:val="008105F7"/>
    <w:rsid w:val="00813CB6"/>
    <w:rsid w:val="00822EA3"/>
    <w:rsid w:val="008335CA"/>
    <w:rsid w:val="00833B43"/>
    <w:rsid w:val="00834DD1"/>
    <w:rsid w:val="00843B0A"/>
    <w:rsid w:val="00847851"/>
    <w:rsid w:val="00850561"/>
    <w:rsid w:val="00850B2F"/>
    <w:rsid w:val="00854754"/>
    <w:rsid w:val="00867E1D"/>
    <w:rsid w:val="0087067E"/>
    <w:rsid w:val="008712F6"/>
    <w:rsid w:val="00872016"/>
    <w:rsid w:val="008736CE"/>
    <w:rsid w:val="00875A7A"/>
    <w:rsid w:val="00880663"/>
    <w:rsid w:val="00885DB8"/>
    <w:rsid w:val="008868DE"/>
    <w:rsid w:val="0088717C"/>
    <w:rsid w:val="0088775B"/>
    <w:rsid w:val="00890DF6"/>
    <w:rsid w:val="00893C7A"/>
    <w:rsid w:val="008A4759"/>
    <w:rsid w:val="008A48AE"/>
    <w:rsid w:val="008A7AEF"/>
    <w:rsid w:val="008B7C62"/>
    <w:rsid w:val="008C0DD2"/>
    <w:rsid w:val="008D00FE"/>
    <w:rsid w:val="008D11AF"/>
    <w:rsid w:val="008F3981"/>
    <w:rsid w:val="00904724"/>
    <w:rsid w:val="00905AC2"/>
    <w:rsid w:val="0091543A"/>
    <w:rsid w:val="00915C42"/>
    <w:rsid w:val="00923F7B"/>
    <w:rsid w:val="00925612"/>
    <w:rsid w:val="00932E80"/>
    <w:rsid w:val="00933152"/>
    <w:rsid w:val="009362C0"/>
    <w:rsid w:val="00944BDE"/>
    <w:rsid w:val="009556EF"/>
    <w:rsid w:val="00957744"/>
    <w:rsid w:val="00962ABF"/>
    <w:rsid w:val="009649FB"/>
    <w:rsid w:val="009653F4"/>
    <w:rsid w:val="00966F4B"/>
    <w:rsid w:val="00977D10"/>
    <w:rsid w:val="009814B2"/>
    <w:rsid w:val="00981B09"/>
    <w:rsid w:val="0098342D"/>
    <w:rsid w:val="00990389"/>
    <w:rsid w:val="00990BE5"/>
    <w:rsid w:val="00990D0E"/>
    <w:rsid w:val="009955A2"/>
    <w:rsid w:val="00995882"/>
    <w:rsid w:val="009A24AD"/>
    <w:rsid w:val="009A4360"/>
    <w:rsid w:val="009B0E4C"/>
    <w:rsid w:val="009B1906"/>
    <w:rsid w:val="009B25E3"/>
    <w:rsid w:val="009C3B3A"/>
    <w:rsid w:val="009C6205"/>
    <w:rsid w:val="009E1CDB"/>
    <w:rsid w:val="009E630D"/>
    <w:rsid w:val="009E73F3"/>
    <w:rsid w:val="009F1C4D"/>
    <w:rsid w:val="00A0366C"/>
    <w:rsid w:val="00A20F5E"/>
    <w:rsid w:val="00A21984"/>
    <w:rsid w:val="00A2216E"/>
    <w:rsid w:val="00A24ABB"/>
    <w:rsid w:val="00A25841"/>
    <w:rsid w:val="00A325B2"/>
    <w:rsid w:val="00A354E0"/>
    <w:rsid w:val="00A40276"/>
    <w:rsid w:val="00A42417"/>
    <w:rsid w:val="00A44623"/>
    <w:rsid w:val="00A50320"/>
    <w:rsid w:val="00A51963"/>
    <w:rsid w:val="00A51CEF"/>
    <w:rsid w:val="00A53876"/>
    <w:rsid w:val="00A54157"/>
    <w:rsid w:val="00A57F7B"/>
    <w:rsid w:val="00A652CF"/>
    <w:rsid w:val="00A754AF"/>
    <w:rsid w:val="00A873E3"/>
    <w:rsid w:val="00A9117F"/>
    <w:rsid w:val="00A92338"/>
    <w:rsid w:val="00A9502E"/>
    <w:rsid w:val="00AA48B3"/>
    <w:rsid w:val="00AA556B"/>
    <w:rsid w:val="00AB6BA7"/>
    <w:rsid w:val="00AC1AAA"/>
    <w:rsid w:val="00AC1B11"/>
    <w:rsid w:val="00AC3264"/>
    <w:rsid w:val="00AC4141"/>
    <w:rsid w:val="00AE1BEB"/>
    <w:rsid w:val="00AE2A3E"/>
    <w:rsid w:val="00AE4EBE"/>
    <w:rsid w:val="00AF0F57"/>
    <w:rsid w:val="00AF6987"/>
    <w:rsid w:val="00AF6F49"/>
    <w:rsid w:val="00B036C8"/>
    <w:rsid w:val="00B14D58"/>
    <w:rsid w:val="00B155C9"/>
    <w:rsid w:val="00B206E8"/>
    <w:rsid w:val="00B20766"/>
    <w:rsid w:val="00B21919"/>
    <w:rsid w:val="00B30FB8"/>
    <w:rsid w:val="00B3601B"/>
    <w:rsid w:val="00B3636C"/>
    <w:rsid w:val="00B41DD4"/>
    <w:rsid w:val="00B431A5"/>
    <w:rsid w:val="00B442FF"/>
    <w:rsid w:val="00B4643F"/>
    <w:rsid w:val="00B47C31"/>
    <w:rsid w:val="00B51C9B"/>
    <w:rsid w:val="00B53583"/>
    <w:rsid w:val="00B558B1"/>
    <w:rsid w:val="00B7102F"/>
    <w:rsid w:val="00B83679"/>
    <w:rsid w:val="00B91E41"/>
    <w:rsid w:val="00B92126"/>
    <w:rsid w:val="00BA5B15"/>
    <w:rsid w:val="00BA74AE"/>
    <w:rsid w:val="00BB5D21"/>
    <w:rsid w:val="00BC068F"/>
    <w:rsid w:val="00BC6208"/>
    <w:rsid w:val="00BC7798"/>
    <w:rsid w:val="00BD7153"/>
    <w:rsid w:val="00BE2E56"/>
    <w:rsid w:val="00BF0E10"/>
    <w:rsid w:val="00BF78D5"/>
    <w:rsid w:val="00C06FD5"/>
    <w:rsid w:val="00C07393"/>
    <w:rsid w:val="00C15992"/>
    <w:rsid w:val="00C21186"/>
    <w:rsid w:val="00C27947"/>
    <w:rsid w:val="00C43210"/>
    <w:rsid w:val="00C45BDC"/>
    <w:rsid w:val="00C46638"/>
    <w:rsid w:val="00C55BCA"/>
    <w:rsid w:val="00C671FC"/>
    <w:rsid w:val="00C70478"/>
    <w:rsid w:val="00C7535E"/>
    <w:rsid w:val="00C8014F"/>
    <w:rsid w:val="00C8360C"/>
    <w:rsid w:val="00C8363C"/>
    <w:rsid w:val="00C839B7"/>
    <w:rsid w:val="00C90679"/>
    <w:rsid w:val="00C92125"/>
    <w:rsid w:val="00C92E60"/>
    <w:rsid w:val="00C936F0"/>
    <w:rsid w:val="00C93788"/>
    <w:rsid w:val="00C93E83"/>
    <w:rsid w:val="00CA11DA"/>
    <w:rsid w:val="00CA45A5"/>
    <w:rsid w:val="00CA4782"/>
    <w:rsid w:val="00CA6E7B"/>
    <w:rsid w:val="00CA7E50"/>
    <w:rsid w:val="00CB0A98"/>
    <w:rsid w:val="00CB4CB0"/>
    <w:rsid w:val="00CC0885"/>
    <w:rsid w:val="00CC3E8E"/>
    <w:rsid w:val="00CE0CC7"/>
    <w:rsid w:val="00CE50BE"/>
    <w:rsid w:val="00CE609F"/>
    <w:rsid w:val="00CE6F5F"/>
    <w:rsid w:val="00CE70E2"/>
    <w:rsid w:val="00CF37A9"/>
    <w:rsid w:val="00CF5899"/>
    <w:rsid w:val="00D030F1"/>
    <w:rsid w:val="00D050DE"/>
    <w:rsid w:val="00D10FE6"/>
    <w:rsid w:val="00D14E90"/>
    <w:rsid w:val="00D161BD"/>
    <w:rsid w:val="00D17F8B"/>
    <w:rsid w:val="00D2098F"/>
    <w:rsid w:val="00D27A2A"/>
    <w:rsid w:val="00D37080"/>
    <w:rsid w:val="00D446DC"/>
    <w:rsid w:val="00D45EDD"/>
    <w:rsid w:val="00D47E7F"/>
    <w:rsid w:val="00D47E9E"/>
    <w:rsid w:val="00D56558"/>
    <w:rsid w:val="00D65584"/>
    <w:rsid w:val="00D72460"/>
    <w:rsid w:val="00D768A0"/>
    <w:rsid w:val="00D77858"/>
    <w:rsid w:val="00D82EAB"/>
    <w:rsid w:val="00D87E2E"/>
    <w:rsid w:val="00D969B7"/>
    <w:rsid w:val="00DA7076"/>
    <w:rsid w:val="00DB1241"/>
    <w:rsid w:val="00DB1A62"/>
    <w:rsid w:val="00DB3F9F"/>
    <w:rsid w:val="00DB6628"/>
    <w:rsid w:val="00DB77EA"/>
    <w:rsid w:val="00DD6D1D"/>
    <w:rsid w:val="00DE1FD2"/>
    <w:rsid w:val="00E00D96"/>
    <w:rsid w:val="00E03A3D"/>
    <w:rsid w:val="00E07ED6"/>
    <w:rsid w:val="00E11064"/>
    <w:rsid w:val="00E14736"/>
    <w:rsid w:val="00E20AF8"/>
    <w:rsid w:val="00E22443"/>
    <w:rsid w:val="00E236AA"/>
    <w:rsid w:val="00E31711"/>
    <w:rsid w:val="00E31912"/>
    <w:rsid w:val="00E355AB"/>
    <w:rsid w:val="00E44A50"/>
    <w:rsid w:val="00E45B41"/>
    <w:rsid w:val="00E46A22"/>
    <w:rsid w:val="00E474D0"/>
    <w:rsid w:val="00E551FC"/>
    <w:rsid w:val="00E55DD0"/>
    <w:rsid w:val="00E56B53"/>
    <w:rsid w:val="00E6395C"/>
    <w:rsid w:val="00E656CF"/>
    <w:rsid w:val="00E750E1"/>
    <w:rsid w:val="00E77521"/>
    <w:rsid w:val="00E8000E"/>
    <w:rsid w:val="00E814F4"/>
    <w:rsid w:val="00E85B4C"/>
    <w:rsid w:val="00E862A9"/>
    <w:rsid w:val="00E95682"/>
    <w:rsid w:val="00E969E1"/>
    <w:rsid w:val="00EA2BDF"/>
    <w:rsid w:val="00EA46E5"/>
    <w:rsid w:val="00EA6CDA"/>
    <w:rsid w:val="00EB099E"/>
    <w:rsid w:val="00EB395B"/>
    <w:rsid w:val="00EC61A1"/>
    <w:rsid w:val="00ED0134"/>
    <w:rsid w:val="00EE1D06"/>
    <w:rsid w:val="00EE6918"/>
    <w:rsid w:val="00EF2C54"/>
    <w:rsid w:val="00F018D9"/>
    <w:rsid w:val="00F02306"/>
    <w:rsid w:val="00F0254B"/>
    <w:rsid w:val="00F02A80"/>
    <w:rsid w:val="00F200FE"/>
    <w:rsid w:val="00F24908"/>
    <w:rsid w:val="00F270E3"/>
    <w:rsid w:val="00F3702F"/>
    <w:rsid w:val="00F379B9"/>
    <w:rsid w:val="00F47950"/>
    <w:rsid w:val="00F54E63"/>
    <w:rsid w:val="00F6432B"/>
    <w:rsid w:val="00F643CC"/>
    <w:rsid w:val="00F6616A"/>
    <w:rsid w:val="00F66FF7"/>
    <w:rsid w:val="00F735C5"/>
    <w:rsid w:val="00F7579F"/>
    <w:rsid w:val="00FA1CA5"/>
    <w:rsid w:val="00FB1330"/>
    <w:rsid w:val="00FB667C"/>
    <w:rsid w:val="00FB66D7"/>
    <w:rsid w:val="00FC2B05"/>
    <w:rsid w:val="00FC5A84"/>
    <w:rsid w:val="00FC77A7"/>
    <w:rsid w:val="00FD06AD"/>
    <w:rsid w:val="00FD620C"/>
    <w:rsid w:val="00FE40DC"/>
    <w:rsid w:val="00FF2128"/>
    <w:rsid w:val="0FFFE8B2"/>
    <w:rsid w:val="17FF0E0B"/>
    <w:rsid w:val="2F9F28E8"/>
    <w:rsid w:val="3AEB9F2C"/>
    <w:rsid w:val="3DFF502B"/>
    <w:rsid w:val="3F96703B"/>
    <w:rsid w:val="3FF080D9"/>
    <w:rsid w:val="47F7D1B7"/>
    <w:rsid w:val="5FF614AF"/>
    <w:rsid w:val="69DFB732"/>
    <w:rsid w:val="6F6856FA"/>
    <w:rsid w:val="6F7F9884"/>
    <w:rsid w:val="75CBDD1B"/>
    <w:rsid w:val="76ECFC3E"/>
    <w:rsid w:val="79671A5A"/>
    <w:rsid w:val="79DD5C3A"/>
    <w:rsid w:val="7CDF1385"/>
    <w:rsid w:val="7E9FC365"/>
    <w:rsid w:val="7FDDBDA7"/>
    <w:rsid w:val="7FEFD64C"/>
    <w:rsid w:val="B3F3EFCB"/>
    <w:rsid w:val="B7DCB2A1"/>
    <w:rsid w:val="B9FF2E06"/>
    <w:rsid w:val="CEF72E12"/>
    <w:rsid w:val="CFFF3B37"/>
    <w:rsid w:val="D6FC5939"/>
    <w:rsid w:val="DD6D799A"/>
    <w:rsid w:val="DDB796F4"/>
    <w:rsid w:val="E7FBA8E0"/>
    <w:rsid w:val="EF7F4529"/>
    <w:rsid w:val="F6CF164B"/>
    <w:rsid w:val="FBFF0DBD"/>
    <w:rsid w:val="FE6E172C"/>
    <w:rsid w:val="FF5FBC62"/>
    <w:rsid w:val="FF9FF13A"/>
    <w:rsid w:val="FFEFABB7"/>
    <w:rsid w:val="FFF9C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footnote text"/>
    <w:basedOn w:val="1"/>
    <w:link w:val="21"/>
    <w:unhideWhenUsed/>
    <w:qFormat/>
    <w:uiPriority w:val="99"/>
    <w:pPr>
      <w:snapToGrid w:val="0"/>
      <w:jc w:val="left"/>
    </w:pPr>
    <w:rPr>
      <w:sz w:val="18"/>
      <w:szCs w:val="18"/>
    </w:rPr>
  </w:style>
  <w:style w:type="paragraph" w:styleId="9">
    <w:name w:val="toc 2"/>
    <w:basedOn w:val="1"/>
    <w:next w:val="1"/>
    <w:unhideWhenUsed/>
    <w:qFormat/>
    <w:uiPriority w:val="39"/>
    <w:pPr>
      <w:ind w:left="420" w:left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footnote reference"/>
    <w:basedOn w:val="12"/>
    <w:unhideWhenUsed/>
    <w:qFormat/>
    <w:uiPriority w:val="99"/>
    <w:rPr>
      <w:vertAlign w:val="superscript"/>
    </w:rPr>
  </w:style>
  <w:style w:type="character" w:customStyle="1" w:styleId="15">
    <w:name w:val="页眉 字符"/>
    <w:basedOn w:val="12"/>
    <w:link w:val="6"/>
    <w:qFormat/>
    <w:uiPriority w:val="99"/>
    <w:rPr>
      <w:sz w:val="18"/>
      <w:szCs w:val="18"/>
    </w:rPr>
  </w:style>
  <w:style w:type="character" w:customStyle="1" w:styleId="16">
    <w:name w:val="页脚 字符"/>
    <w:basedOn w:val="12"/>
    <w:link w:val="5"/>
    <w:qFormat/>
    <w:uiPriority w:val="99"/>
    <w:rPr>
      <w:sz w:val="18"/>
      <w:szCs w:val="18"/>
    </w:rPr>
  </w:style>
  <w:style w:type="character" w:customStyle="1" w:styleId="17">
    <w:name w:val="标题 1 字符"/>
    <w:basedOn w:val="12"/>
    <w:link w:val="2"/>
    <w:qFormat/>
    <w:uiPriority w:val="0"/>
    <w:rPr>
      <w:rFonts w:ascii="Times New Roman" w:hAnsi="Times New Roman" w:eastAsia="宋体" w:cs="Times New Roman"/>
      <w:b/>
      <w:bCs/>
      <w:kern w:val="44"/>
      <w:sz w:val="44"/>
      <w:szCs w:val="44"/>
    </w:rPr>
  </w:style>
  <w:style w:type="character" w:customStyle="1" w:styleId="18">
    <w:name w:val="标题 2 字符"/>
    <w:basedOn w:val="12"/>
    <w:link w:val="3"/>
    <w:qFormat/>
    <w:uiPriority w:val="0"/>
    <w:rPr>
      <w:rFonts w:ascii="Arial" w:hAnsi="Arial" w:eastAsia="黑体" w:cs="Times New Roman"/>
      <w:b/>
      <w:bCs/>
      <w:sz w:val="32"/>
      <w:szCs w:val="32"/>
    </w:rPr>
  </w:style>
  <w:style w:type="paragraph" w:customStyle="1" w:styleId="19">
    <w:name w:val="列表段落1"/>
    <w:basedOn w:val="1"/>
    <w:qFormat/>
    <w:uiPriority w:val="34"/>
    <w:pPr>
      <w:ind w:firstLine="420" w:firstLineChars="200"/>
    </w:pPr>
  </w:style>
  <w:style w:type="character" w:customStyle="1" w:styleId="20">
    <w:name w:val="批注框文本 字符"/>
    <w:basedOn w:val="12"/>
    <w:link w:val="4"/>
    <w:semiHidden/>
    <w:qFormat/>
    <w:uiPriority w:val="99"/>
    <w:rPr>
      <w:rFonts w:ascii="Times New Roman" w:hAnsi="Times New Roman" w:eastAsia="宋体" w:cs="Times New Roman"/>
      <w:sz w:val="18"/>
      <w:szCs w:val="18"/>
    </w:rPr>
  </w:style>
  <w:style w:type="character" w:customStyle="1" w:styleId="21">
    <w:name w:val="脚注文本 字符"/>
    <w:basedOn w:val="12"/>
    <w:link w:val="8"/>
    <w:semiHidden/>
    <w:qFormat/>
    <w:uiPriority w:val="99"/>
    <w:rPr>
      <w:rFonts w:ascii="Times New Roman" w:hAnsi="Times New Roman" w:eastAsia="宋体" w:cs="Times New Roman"/>
      <w:kern w:val="2"/>
      <w:sz w:val="18"/>
      <w:szCs w:val="18"/>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2700</Words>
  <Characters>15390</Characters>
  <Lines>128</Lines>
  <Paragraphs>36</Paragraphs>
  <TotalTime>24</TotalTime>
  <ScaleCrop>false</ScaleCrop>
  <LinksUpToDate>false</LinksUpToDate>
  <CharactersWithSpaces>18054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2021-06-08T12:21:00Z</dcterms:created>
  <dc:creator>cloud lee</dc:creator>
  <cp:lastModifiedBy>user</cp:lastModifiedBy>
  <cp:lastPrinted>2021-07-23T04:31:00Z</cp:lastPrinted>
  <dcterms:modified xsi:type="dcterms:W3CDTF">2021-10-12T14:51:54Z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