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沪杭甬高速公路杭州市区段改建工程（乔司收费站至钱塘江新建大桥段）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TJ</w:t>
      </w:r>
      <w:r>
        <w:rPr>
          <w:rFonts w:hint="eastAsia" w:ascii="仿宋_GB2312" w:eastAsia="仿宋_GB2312"/>
          <w:b/>
          <w:bCs/>
          <w:sz w:val="30"/>
          <w:szCs w:val="30"/>
        </w:rPr>
        <w:t>04标：</w:t>
      </w:r>
    </w:p>
    <w:p>
      <w:pPr>
        <w:pStyle w:val="4"/>
        <w:ind w:firstLine="0" w:firstLineChars="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1、施工五方责任主体信息</w:t>
      </w:r>
    </w:p>
    <w:p>
      <w:pPr>
        <w:pStyle w:val="4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建设单位：杭州市公路管理局  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0"/>
          <w:szCs w:val="30"/>
        </w:rPr>
        <w:t>项目负责人：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严慧忠</w:t>
      </w:r>
    </w:p>
    <w:p>
      <w:pPr>
        <w:pStyle w:val="4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勘察单位：杭州市交通规划设计研究院  项目负责人：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周翔</w:t>
      </w:r>
    </w:p>
    <w:p>
      <w:pPr>
        <w:pStyle w:val="4"/>
        <w:ind w:firstLine="0" w:firstLineChars="0"/>
        <w:rPr>
          <w:rFonts w:hint="default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设计单位：杭州市交通规划设计研究院  项目负责人：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朱勇骏</w:t>
      </w:r>
      <w:bookmarkStart w:id="0" w:name="_GoBack"/>
      <w:bookmarkEnd w:id="0"/>
    </w:p>
    <w:p>
      <w:pPr>
        <w:pStyle w:val="4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施工单位：中交二航局第二工程有限公司  项目经理：汪洋（变更后）</w:t>
      </w:r>
    </w:p>
    <w:p>
      <w:pPr>
        <w:pStyle w:val="4"/>
        <w:ind w:firstLine="0" w:firstLineChars="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监理单位：北京华宏工程咨询有限公司  总监理工程师：管弦</w:t>
      </w:r>
    </w:p>
    <w:p>
      <w:pPr>
        <w:pStyle w:val="4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2、管理机构设置</w:t>
      </w:r>
    </w:p>
    <w:p>
      <w:pPr>
        <w:pStyle w:val="4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drawing>
          <wp:inline distT="0" distB="0" distL="114300" distR="114300">
            <wp:extent cx="4648200" cy="4340860"/>
            <wp:effectExtent l="0" t="0" r="0" b="2540"/>
            <wp:docPr id="1" name="图片 1" descr="组织机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织机构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34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firstLine="0" w:firstLineChars="0"/>
        <w:rPr>
          <w:b/>
          <w:bCs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3、主要管理制度</w:t>
      </w:r>
    </w:p>
    <w:p>
      <w:pPr>
        <w:pStyle w:val="4"/>
        <w:ind w:firstLine="0" w:firstLineChars="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《质量管理制度》、《</w:t>
      </w:r>
      <w:r>
        <w:rPr>
          <w:rFonts w:ascii="仿宋_GB2312" w:eastAsia="仿宋_GB2312"/>
          <w:bCs/>
          <w:sz w:val="30"/>
          <w:szCs w:val="30"/>
        </w:rPr>
        <w:t>安全生产责任制</w:t>
      </w:r>
      <w:r>
        <w:rPr>
          <w:rFonts w:hint="eastAsia" w:ascii="仿宋_GB2312" w:eastAsia="仿宋_GB2312"/>
          <w:bCs/>
          <w:sz w:val="30"/>
          <w:szCs w:val="30"/>
        </w:rPr>
        <w:t>》、《</w:t>
      </w:r>
      <w:r>
        <w:rPr>
          <w:rFonts w:ascii="仿宋_GB2312" w:eastAsia="仿宋_GB2312"/>
          <w:bCs/>
          <w:sz w:val="30"/>
          <w:szCs w:val="30"/>
        </w:rPr>
        <w:t>安全生产奖惩</w:t>
      </w:r>
      <w:r>
        <w:rPr>
          <w:rFonts w:hint="eastAsia" w:ascii="仿宋_GB2312" w:eastAsia="仿宋_GB2312"/>
          <w:bCs/>
          <w:sz w:val="30"/>
          <w:szCs w:val="30"/>
        </w:rPr>
        <w:t>制度》、《</w:t>
      </w:r>
      <w:r>
        <w:rPr>
          <w:rFonts w:ascii="仿宋_GB2312" w:eastAsia="仿宋_GB2312"/>
          <w:bCs/>
          <w:sz w:val="30"/>
          <w:szCs w:val="30"/>
        </w:rPr>
        <w:t>领导带班</w:t>
      </w:r>
      <w:r>
        <w:rPr>
          <w:rFonts w:hint="eastAsia" w:ascii="仿宋_GB2312" w:eastAsia="仿宋_GB2312"/>
          <w:bCs/>
          <w:sz w:val="30"/>
          <w:szCs w:val="30"/>
        </w:rPr>
        <w:t>制度》、《质量计划》等。</w:t>
      </w:r>
    </w:p>
    <w:p>
      <w:pPr>
        <w:pStyle w:val="4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4、施工期环境保护措施落实情况</w:t>
      </w:r>
    </w:p>
    <w:tbl>
      <w:tblPr>
        <w:tblStyle w:val="2"/>
        <w:tblW w:w="8222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926"/>
        <w:gridCol w:w="3378"/>
        <w:gridCol w:w="337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Header/>
          <w:jc w:val="center"/>
        </w:trPr>
        <w:tc>
          <w:tcPr>
            <w:tcW w:w="540" w:type="dxa"/>
            <w:shd w:val="clear" w:color="auto" w:fill="DEEAF6"/>
            <w:vAlign w:val="center"/>
          </w:tcPr>
          <w:p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926" w:type="dxa"/>
            <w:shd w:val="clear" w:color="auto" w:fill="DEEAF6"/>
            <w:vAlign w:val="center"/>
          </w:tcPr>
          <w:p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风险项</w:t>
            </w:r>
          </w:p>
        </w:tc>
        <w:tc>
          <w:tcPr>
            <w:tcW w:w="3378" w:type="dxa"/>
            <w:shd w:val="clear" w:color="auto" w:fill="DEEAF6"/>
            <w:vAlign w:val="center"/>
          </w:tcPr>
          <w:p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主要风险</w:t>
            </w:r>
          </w:p>
        </w:tc>
        <w:tc>
          <w:tcPr>
            <w:tcW w:w="3378" w:type="dxa"/>
            <w:shd w:val="clear" w:color="auto" w:fill="DEEAF6"/>
            <w:vAlign w:val="center"/>
          </w:tcPr>
          <w:p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主要对策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桩基、承台施工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桩基施工产生大量泥浆及钻渣，容易泄漏污染现有路面；</w:t>
            </w:r>
          </w:p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白天外运困难，只能夜间外运，现场堆放压力大。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设置泥浆沉淀池，泥浆循环使用，减少废弃泥浆量；</w:t>
            </w:r>
          </w:p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设置钻渣斗，待钻渣静置一定时间后再外运出渣；</w:t>
            </w:r>
          </w:p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配置足够的运渣车，保证夜间把废弃泥浆和钻渣运完。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T梁、桥面板湿接缝及护栏施工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湿接缝施工期间坠落物体影响下方道路行车安全；</w:t>
            </w:r>
          </w:p>
          <w:p>
            <w:pPr>
              <w:numPr>
                <w:ilvl w:val="0"/>
                <w:numId w:val="2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湿接缝混凝土浇筑时易漏浆，污染高架下方路面及过往车辆。</w:t>
            </w:r>
          </w:p>
          <w:p>
            <w:pPr>
              <w:numPr>
                <w:ilvl w:val="0"/>
                <w:numId w:val="2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护栏混凝土浇筑时易漏浆，污染高架下方路面及过往车辆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通过设置防护措施保证下方道路行车安全；</w:t>
            </w:r>
          </w:p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采取贴止浆条、减小模板拼缝等措施保证湿接缝模板不漏浆。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噪音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钻机、挖机、搅拌站等设备产生的噪音容易遭到附近民众投诉；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选择噪音符合规定要求的设备，采取措施减小噪音污染。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栈桥占用水域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搭设保通便桥占用水域，容易污染水源。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指定专项措施加强水域保护。</w:t>
            </w:r>
          </w:p>
        </w:tc>
      </w:tr>
    </w:tbl>
    <w:p>
      <w:pPr>
        <w:pStyle w:val="4"/>
        <w:ind w:firstLine="0" w:firstLineChars="0"/>
        <w:rPr>
          <w:rFonts w:ascii="仿宋_GB2312" w:eastAsia="仿宋_GB2312"/>
          <w:bCs/>
          <w:sz w:val="30"/>
          <w:szCs w:val="30"/>
        </w:rPr>
      </w:pPr>
    </w:p>
    <w:p>
      <w:pPr>
        <w:pStyle w:val="4"/>
        <w:ind w:firstLine="0" w:firstLineChars="0"/>
        <w:rPr>
          <w:rFonts w:ascii="仿宋_GB2312" w:eastAsia="仿宋_GB2312"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2205"/>
    <w:multiLevelType w:val="multilevel"/>
    <w:tmpl w:val="7126220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40E0262"/>
    <w:multiLevelType w:val="multilevel"/>
    <w:tmpl w:val="740E0262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14708"/>
    <w:rsid w:val="337C5750"/>
    <w:rsid w:val="69B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缩2"/>
    <w:qFormat/>
    <w:uiPriority w:val="0"/>
    <w:pPr>
      <w:spacing w:line="360" w:lineRule="auto"/>
      <w:ind w:firstLine="56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2020-03-27T03:55:00Z</dcterms:created>
  <dc:creator>Administrator</dc:creator>
  <cp:lastModifiedBy>田佳颖Thalia</cp:lastModifiedBy>
  <dcterms:modified xsi:type="dcterms:W3CDTF">2020-03-27T06:25:39Z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