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pacing w:beforeAutospacing="0" w:after="90" w:afterAutospacing="0" w:line="27" w:lineRule="atLeast"/>
        <w:ind w:left="0" w:right="0" w:firstLine="0"/>
        <w:jc w:val="center"/>
        <w:rPr>
          <w:rFonts w:ascii="-webkit-standard" w:hAnsi="-webkit-standard" w:eastAsia="-webkit-standard" w:cs="-webkit-standard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ascii="方正小标宋_GBK" w:hAnsi="方正小标宋_GBK" w:eastAsia="方正小标宋_GBK" w:cs="方正小标宋_GBK"/>
          <w:i w:val="0"/>
          <w:caps w:val="0"/>
          <w:color w:val="000000"/>
          <w:spacing w:val="0"/>
          <w:kern w:val="0"/>
          <w:sz w:val="33"/>
          <w:szCs w:val="33"/>
          <w:u w:val="none"/>
          <w:lang w:val="en-US" w:eastAsia="zh-CN" w:bidi="ar"/>
        </w:rPr>
        <w:t>202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kern w:val="0"/>
          <w:sz w:val="33"/>
          <w:szCs w:val="33"/>
          <w:u w:val="none"/>
          <w:lang w:val="en-US" w:eastAsia="zh-CN" w:bidi="ar"/>
        </w:rPr>
        <w:t>2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kern w:val="0"/>
          <w:sz w:val="33"/>
          <w:szCs w:val="33"/>
          <w:u w:val="none"/>
          <w:lang w:val="en-US" w:eastAsia="zh-CN" w:bidi="ar"/>
        </w:rPr>
        <w:t>年“公述民评”活动问政主题</w:t>
      </w:r>
    </w:p>
    <w:p>
      <w:pPr>
        <w:widowControl/>
        <w:spacing w:beforeAutospacing="0" w:after="90" w:afterAutospacing="0" w:line="27" w:lineRule="atLeast"/>
        <w:ind w:left="0" w:right="0" w:firstLine="0"/>
        <w:jc w:val="center"/>
        <w:rPr>
          <w:rFonts w:hint="default" w:ascii="-webkit-standard" w:hAnsi="-webkit-standard" w:eastAsia="-webkit-standard" w:cs="-webkit-standard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kern w:val="0"/>
          <w:sz w:val="33"/>
          <w:szCs w:val="33"/>
          <w:u w:val="none"/>
          <w:lang w:val="en-US" w:eastAsia="zh-CN" w:bidi="ar"/>
        </w:rPr>
        <w:t>及重点内容</w:t>
      </w:r>
    </w:p>
    <w:p>
      <w:pPr>
        <w:numPr>
          <w:numId w:val="0"/>
        </w:numPr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第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一</w:t>
      </w:r>
      <w:r>
        <w:rPr>
          <w:rFonts w:hint="eastAsia" w:ascii="楷体_GB2312" w:hAnsi="楷体_GB2312" w:eastAsia="楷体_GB2312" w:cs="楷体_GB2312"/>
          <w:sz w:val="32"/>
          <w:szCs w:val="32"/>
        </w:rPr>
        <w:t>场:助企纾困如何精准施策</w:t>
      </w:r>
    </w:p>
    <w:p>
      <w:pPr>
        <w:ind w:firstLine="642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重点内容: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1.提高政策知晓率，精准落实助企政策；2.精简办事流程，优化政务服务效能；3.多措并举推进企业纾困解难。</w:t>
      </w:r>
    </w:p>
    <w:p>
      <w:pPr>
        <w:widowControl/>
        <w:numPr>
          <w:ilvl w:val="0"/>
          <w:numId w:val="0"/>
        </w:numPr>
        <w:ind w:firstLine="642" w:firstLineChars="200"/>
        <w:rPr>
          <w:rFonts w:hint="default" w:ascii="微软雅黑" w:hAnsi="微软雅黑" w:eastAsia="仿宋_GB2312" w:cs="微软雅黑"/>
          <w:color w:val="333333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主要问政嘉宾：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各区、县（市）政府</w:t>
      </w:r>
      <w:r>
        <w:rPr>
          <w:rFonts w:hint="eastAsia" w:ascii="仿宋_GB2312" w:hAnsi="仿宋_GB2312" w:eastAsia="仿宋_GB2312" w:cs="仿宋_GB2312"/>
          <w:sz w:val="32"/>
          <w:szCs w:val="32"/>
        </w:rPr>
        <w:t>分管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领导，市经信局、市发改委、市审管办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等部门分管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领导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ind w:firstLine="642" w:firstLineChars="200"/>
        <w:rPr>
          <w:rFonts w:hint="eastAsia" w:ascii="楷体_GB2312" w:hAnsi="楷体_GB2312" w:eastAsia="仿宋_GB2312" w:cs="楷体_GB2312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配合问政嘉宾：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市市场监管局、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市数据资源局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市建委、市城管局、市科技局、市规划和自然资源局、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市财政局、市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地方金融监管局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市生态环境局、市投资促进局、市农业农村局、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市人力社保局、市文化广电旅游局、市交通运输局、市住保房管局、市税务局、市商务局、市司法局、市卫生健康委、市医疗保障局、市公安局、市教育局、市国资委、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杭州城西科创大走廊管委会、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杭州公积金中心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、市对口支援和区域合作局、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市工商联、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国网杭州供电公司、市城投集团等部门分管领导。</w:t>
      </w:r>
    </w:p>
    <w:p>
      <w:pPr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第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二</w:t>
      </w:r>
      <w:r>
        <w:rPr>
          <w:rFonts w:hint="eastAsia" w:ascii="楷体_GB2312" w:hAnsi="楷体_GB2312" w:eastAsia="楷体_GB2312" w:cs="楷体_GB2312"/>
          <w:sz w:val="32"/>
          <w:szCs w:val="32"/>
        </w:rPr>
        <w:t>场:城乡发展如何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统筹</w:t>
      </w:r>
      <w:r>
        <w:rPr>
          <w:rFonts w:hint="eastAsia" w:ascii="楷体_GB2312" w:hAnsi="楷体_GB2312" w:eastAsia="楷体_GB2312" w:cs="楷体_GB2312"/>
          <w:sz w:val="32"/>
          <w:szCs w:val="32"/>
        </w:rPr>
        <w:t>推进</w:t>
      </w:r>
    </w:p>
    <w:p>
      <w:pPr>
        <w:ind w:firstLine="642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重点内容: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1.加强城郊结合部、近郊村环境治理；2.提升乡村及县城公共服务、环境风貌、基础设施；3.优化新就业形态劳动者从业环境。</w:t>
      </w:r>
    </w:p>
    <w:p>
      <w:pPr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主要问政嘉宾：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各区、县（市）政府</w:t>
      </w:r>
      <w:r>
        <w:rPr>
          <w:rFonts w:hint="eastAsia" w:ascii="仿宋_GB2312" w:hAnsi="仿宋_GB2312" w:eastAsia="仿宋_GB2312" w:cs="仿宋_GB2312"/>
          <w:sz w:val="32"/>
          <w:szCs w:val="32"/>
        </w:rPr>
        <w:t>分管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领导，市建委、市生态环境局、市城管局、市农业农村局、市人力社保局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等部门分管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领导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ind w:firstLine="642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配合问政嘉宾：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市发改委、市公安局、市民政局、市教育局、市卫生健康委、市规划和自然资源局、市交通运输局、市经信局、市市场监管局、市林水局、市体育局、市医疗保障局、市住保房管局、市商务局、市应急管理局、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市数据资源局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、市园文局、市财政局、市司法局、市文化广电旅游局、市妇联、市邮政管理局、市总工会、市供销社、国网杭州供电公司、杭州电信公司、杭州移动公司、杭州联通公司、市城投集团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等部门分管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领导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ind w:firstLine="640" w:firstLineChars="200"/>
        <w:rPr>
          <w:rFonts w:hint="default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第三场：城市治理如何高效协同</w:t>
      </w:r>
    </w:p>
    <w:p>
      <w:pPr>
        <w:ind w:firstLine="642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重点内容：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val="en-US" w:eastAsia="zh-CN"/>
        </w:rPr>
        <w:t>1.优化公共交通服务，提升出行便捷度，推进智慧交通建设；2.加强渣土偷倒、卫生死角等环境问题治理;3.推进公共空间开放共享，优化体育场所等公共设施供给和利用</w:t>
      </w:r>
      <w:r>
        <w:rPr>
          <w:rFonts w:hint="default" w:ascii="仿宋_GB2312" w:hAnsi="仿宋_GB2312" w:eastAsia="仿宋_GB2312" w:cs="仿宋_GB2312"/>
          <w:sz w:val="32"/>
          <w:szCs w:val="32"/>
          <w:shd w:val="clear" w:color="auto" w:fill="auto"/>
          <w:lang w:val="en-US" w:eastAsia="zh-CN"/>
        </w:rPr>
        <w:t>。</w:t>
      </w:r>
    </w:p>
    <w:p>
      <w:pPr>
        <w:ind w:firstLine="642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主要问政嘉宾：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十城区政府</w:t>
      </w:r>
      <w:r>
        <w:rPr>
          <w:rFonts w:hint="eastAsia" w:ascii="仿宋_GB2312" w:hAnsi="仿宋_GB2312" w:eastAsia="仿宋_GB2312" w:cs="仿宋_GB2312"/>
          <w:sz w:val="32"/>
          <w:szCs w:val="32"/>
        </w:rPr>
        <w:t>分管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领导，市公安局、市交通运输局、</w:t>
      </w:r>
      <w:r>
        <w:rPr>
          <w:rFonts w:hint="eastAsia" w:ascii="仿宋_GB2312" w:hAnsi="仿宋_GB2312" w:eastAsia="仿宋_GB2312" w:cs="仿宋_GB2312"/>
          <w:sz w:val="32"/>
          <w:szCs w:val="32"/>
        </w:rPr>
        <w:t>市城管局、市生态环境局、市体育局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市地铁集团、市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城投</w:t>
      </w:r>
      <w:r>
        <w:rPr>
          <w:rFonts w:hint="eastAsia" w:ascii="仿宋_GB2312" w:hAnsi="仿宋_GB2312" w:eastAsia="仿宋_GB2312" w:cs="仿宋_GB2312"/>
          <w:sz w:val="32"/>
          <w:szCs w:val="32"/>
        </w:rPr>
        <w:t>集团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等部门分管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领导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ind w:firstLine="642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配合问政嘉宾：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桐庐县、淳安县、建德市政府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分管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领导，市发改委、市园文局、市教育局、市林水局、市规划和自然资源局、市建委、市数据资源局、杭州西湖风景名胜区管委会、市钱江新城管委会、市经信局、市市场监管局、市住保房管局、市文化广电旅游局、市交投集团、市运河集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等部门分管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领导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第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四</w:t>
      </w:r>
      <w:r>
        <w:rPr>
          <w:rFonts w:hint="eastAsia" w:ascii="楷体_GB2312" w:hAnsi="楷体_GB2312" w:eastAsia="楷体_GB2312" w:cs="楷体_GB2312"/>
          <w:sz w:val="32"/>
          <w:szCs w:val="32"/>
        </w:rPr>
        <w:t>场:安全风险如何科学防范</w:t>
      </w:r>
    </w:p>
    <w:p>
      <w:pPr>
        <w:numPr>
          <w:ilvl w:val="0"/>
          <w:numId w:val="0"/>
        </w:numPr>
        <w:ind w:leftChars="0" w:firstLine="642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重点内容: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val="en-US" w:eastAsia="zh-CN"/>
        </w:rPr>
        <w:t>1.</w:t>
      </w:r>
      <w:r>
        <w:rPr>
          <w:rFonts w:hint="default" w:ascii="仿宋_GB2312" w:hAnsi="仿宋_GB2312" w:eastAsia="仿宋_GB2312" w:cs="仿宋_GB2312"/>
          <w:sz w:val="32"/>
          <w:szCs w:val="32"/>
          <w:shd w:val="clear" w:color="auto" w:fill="auto"/>
          <w:lang w:val="en-US" w:eastAsia="zh-CN"/>
        </w:rPr>
        <w:t>加强安全生产（消防安全）隐患排查治理；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val="en-US" w:eastAsia="zh-CN"/>
        </w:rPr>
        <w:t>2.强化食品安全监管；3.提升里子工程、避险工程建设水平。</w:t>
      </w:r>
    </w:p>
    <w:p>
      <w:pPr>
        <w:ind w:firstLine="642" w:firstLineChars="200"/>
        <w:rPr>
          <w:rFonts w:hint="default" w:ascii="仿宋_GB2312" w:hAnsi="仿宋_GB2312" w:eastAsia="仿宋_GB2312" w:cs="仿宋_GB2312"/>
          <w:color w:val="FF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主要问政嘉宾：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各区、县（市）政府</w:t>
      </w:r>
      <w:r>
        <w:rPr>
          <w:rFonts w:hint="eastAsia" w:ascii="仿宋_GB2312" w:hAnsi="仿宋_GB2312" w:eastAsia="仿宋_GB2312" w:cs="仿宋_GB2312"/>
          <w:sz w:val="32"/>
          <w:szCs w:val="32"/>
        </w:rPr>
        <w:t>分管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领导，市应急管理局、市消防救援支队、市市场监管局、市建委、市城管局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等部门分管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领导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ind w:firstLine="642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配合问政嘉宾：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规划和自然资源局、市公安局、市文化广电旅游局、市林水局、市生态环境局、市人防办、市住保房管局、市经信局、市数据资源局、市农业农村局、市卫生健康委、市教育局、市交通运输局、市商务局、市司法局、市园文局、杭州西湖风景名胜区管委会、市地铁集团、市城投集团、市交投集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等部门分管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领导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iberation Sans">
    <w:altName w:val="汉仪新人文宋简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Noto Sans CJK SC Regular">
    <w:panose1 w:val="020B0500000000000000"/>
    <w:charset w:val="86"/>
    <w:family w:val="auto"/>
    <w:pitch w:val="default"/>
    <w:sig w:usb0="00000000" w:usb1="00000000" w:usb2="00000016" w:usb3="00000000" w:csb0="602E0107" w:csb1="00000000"/>
  </w:font>
  <w:font w:name="方正小标宋_GBK"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roman"/>
    <w:pitch w:val="default"/>
    <w:sig w:usb0="00000000" w:usb1="00000000" w:usb2="00000016" w:usb3="00000000" w:csb0="0004001F" w:csb1="00000000"/>
  </w:font>
  <w:font w:name="DejaVu Sans"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汉仪新人文宋简"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字魂53号-云霄体">
    <w:panose1 w:val="000005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-webkit-standard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HorizontalSpacing w:val="1"/>
  <w:drawingGridVerticalSpacing w:val="1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10">
    <w:name w:val="Default Paragraph Font"/>
    <w:qFormat/>
    <w:uiPriority w:val="0"/>
  </w:style>
  <w:style w:type="table" w:default="1" w:styleId="1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caption"/>
    <w:basedOn w:val="1"/>
    <w:next w:val="1"/>
    <w:qFormat/>
    <w:uiPriority w:val="0"/>
    <w:pPr>
      <w:widowControl w:val="0"/>
      <w:suppressLineNumbers/>
      <w:suppressAutoHyphens/>
      <w:spacing w:before="120" w:after="120"/>
    </w:pPr>
    <w:rPr>
      <w:i/>
      <w:iCs/>
      <w:sz w:val="24"/>
      <w:szCs w:val="24"/>
    </w:r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Body Text"/>
    <w:basedOn w:val="1"/>
    <w:qFormat/>
    <w:uiPriority w:val="0"/>
    <w:pPr>
      <w:spacing w:before="0" w:after="140" w:line="276" w:lineRule="auto"/>
    </w:p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List"/>
    <w:basedOn w:val="6"/>
    <w:qFormat/>
    <w:uiPriority w:val="0"/>
  </w:style>
  <w:style w:type="character" w:styleId="11">
    <w:name w:val="Emphasis"/>
    <w:qFormat/>
    <w:uiPriority w:val="0"/>
    <w:rPr>
      <w:i/>
    </w:rPr>
  </w:style>
  <w:style w:type="character" w:styleId="12">
    <w:name w:val="Hyperlink"/>
    <w:qFormat/>
    <w:uiPriority w:val="0"/>
    <w:rPr>
      <w:color w:val="0000FF"/>
      <w:u w:val="single"/>
    </w:rPr>
  </w:style>
  <w:style w:type="table" w:styleId="14">
    <w:name w:val="Table Grid"/>
    <w:basedOn w:val="1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5">
    <w:name w:val="默认段落字体1"/>
    <w:qFormat/>
    <w:uiPriority w:val="0"/>
  </w:style>
  <w:style w:type="paragraph" w:customStyle="1" w:styleId="16">
    <w:name w:val="Heading"/>
    <w:basedOn w:val="1"/>
    <w:next w:val="6"/>
    <w:qFormat/>
    <w:uiPriority w:val="0"/>
    <w:pPr>
      <w:keepNext/>
      <w:widowControl w:val="0"/>
      <w:suppressAutoHyphens/>
      <w:spacing w:before="240" w:after="120"/>
    </w:pPr>
    <w:rPr>
      <w:rFonts w:ascii="Liberation Sans" w:hAnsi="Liberation Sans" w:eastAsia="Noto Sans CJK SC Regular" w:cs="Noto Sans CJK SC Regular"/>
      <w:sz w:val="28"/>
      <w:szCs w:val="28"/>
      <w:lang w:bidi="ar-SA"/>
    </w:rPr>
  </w:style>
  <w:style w:type="paragraph" w:customStyle="1" w:styleId="17">
    <w:name w:val="Index"/>
    <w:basedOn w:val="1"/>
    <w:qFormat/>
    <w:uiPriority w:val="0"/>
    <w:pPr>
      <w:widowControl w:val="0"/>
      <w:suppressLineNumbers/>
      <w:suppressAutoHyphens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6</Pages>
  <Words>359</Words>
  <Characters>2052</Characters>
  <Lines>17</Lines>
  <Paragraphs>4</Paragraphs>
  <TotalTime>0</TotalTime>
  <ScaleCrop>false</ScaleCrop>
  <LinksUpToDate>false</LinksUpToDate>
  <CharactersWithSpaces>2407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2018-12-23T01:47:00Z</dcterms:created>
  <dc:creator>user</dc:creator>
  <cp:lastModifiedBy>郭耕妙的iPhone</cp:lastModifiedBy>
  <cp:lastPrinted>2022-08-15T18:32:56Z</cp:lastPrinted>
  <dcterms:modified xsi:type="dcterms:W3CDTF">2022-09-05T13:23:50Z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2052-11.28.1</vt:lpwstr>
  </property>
  <property fmtid="{D5CDD505-2E9C-101B-9397-08002B2CF9AE}" pid="3" name="woTemplateTypoMode">
    <vt:lpwstr>web</vt:lpwstr>
  </property>
  <property fmtid="{D5CDD505-2E9C-101B-9397-08002B2CF9AE}" pid="4" name="woTemplate">
    <vt:i4>1</vt:i4>
  </property>
  <property fmtid="{D5CDD505-2E9C-101B-9397-08002B2CF9AE}" pid="5" name="ICV">
    <vt:lpwstr>DE1D980D3C10D661518715638E167D94</vt:lpwstr>
  </property>
</Properties>
</file>