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D0E" w:rsidRDefault="008F7F95">
      <w:pPr>
        <w:spacing w:line="336" w:lineRule="auto"/>
        <w:jc w:val="center"/>
        <w:rPr>
          <w:rFonts w:ascii="小标宋" w:eastAsia="小标宋"/>
          <w:sz w:val="44"/>
          <w:szCs w:val="44"/>
        </w:rPr>
      </w:pPr>
      <w:bookmarkStart w:id="0" w:name="_GoBack"/>
      <w:bookmarkEnd w:id="0"/>
      <w:r>
        <w:rPr>
          <w:rFonts w:ascii="小标宋" w:eastAsia="小标宋" w:hint="eastAsia"/>
          <w:sz w:val="44"/>
          <w:szCs w:val="44"/>
        </w:rPr>
        <w:t>杭州市县域医共体医保支付方式改革</w:t>
      </w:r>
    </w:p>
    <w:p w:rsidR="00794D0E" w:rsidRDefault="005A30B5">
      <w:pPr>
        <w:spacing w:line="336" w:lineRule="auto"/>
        <w:jc w:val="center"/>
        <w:rPr>
          <w:rFonts w:ascii="小标宋" w:eastAsia="小标宋"/>
          <w:sz w:val="44"/>
          <w:szCs w:val="44"/>
        </w:rPr>
      </w:pPr>
      <w:r>
        <w:rPr>
          <w:rFonts w:ascii="小标宋" w:eastAsia="小标宋" w:hint="eastAsia"/>
          <w:sz w:val="44"/>
          <w:szCs w:val="44"/>
        </w:rPr>
        <w:t>实施细则</w:t>
      </w:r>
      <w:r w:rsidR="008F7F95">
        <w:rPr>
          <w:rFonts w:ascii="小标宋" w:eastAsia="小标宋" w:hint="eastAsia"/>
          <w:sz w:val="44"/>
          <w:szCs w:val="44"/>
        </w:rPr>
        <w:t>（征求意见稿）</w:t>
      </w:r>
    </w:p>
    <w:p w:rsidR="00794D0E" w:rsidRDefault="008F7F95">
      <w:pPr>
        <w:spacing w:line="336" w:lineRule="auto"/>
        <w:ind w:firstLineChars="200" w:firstLine="640"/>
        <w:rPr>
          <w:rFonts w:ascii="仿宋_GB2312" w:eastAsia="仿宋_GB2312"/>
          <w:sz w:val="32"/>
          <w:szCs w:val="32"/>
        </w:rPr>
      </w:pPr>
      <w:r>
        <w:rPr>
          <w:rFonts w:ascii="仿宋_GB2312" w:eastAsia="仿宋_GB2312" w:hint="eastAsia"/>
          <w:sz w:val="32"/>
          <w:szCs w:val="32"/>
        </w:rPr>
        <w:t>为进一步深化我市医保支付方式改革,保障医保基金可持续运行，根据国务院办公厅《关于进一步深化基本医疗保险支付方式改革的指导意见》(国办发〔2017〕55号)和浙江省医疗保障局等5部门《</w:t>
      </w:r>
      <w:r>
        <w:rPr>
          <w:rFonts w:ascii="仿宋_GB2312" w:eastAsia="仿宋_GB2312"/>
          <w:sz w:val="32"/>
          <w:szCs w:val="32"/>
        </w:rPr>
        <w:t>关于推进全省县域医共体基本医疗保险支付方式改革的意见</w:t>
      </w:r>
      <w:r>
        <w:rPr>
          <w:rFonts w:ascii="仿宋_GB2312" w:eastAsia="仿宋_GB2312" w:hint="eastAsia"/>
          <w:sz w:val="32"/>
          <w:szCs w:val="32"/>
        </w:rPr>
        <w:t>》(</w:t>
      </w:r>
      <w:bookmarkStart w:id="1" w:name="TYPE"/>
      <w:r>
        <w:rPr>
          <w:rFonts w:ascii="仿宋_GB2312" w:eastAsia="仿宋_GB2312" w:hint="eastAsia"/>
          <w:sz w:val="32"/>
          <w:szCs w:val="32"/>
        </w:rPr>
        <w:t>浙医保联发</w:t>
      </w:r>
      <w:bookmarkEnd w:id="1"/>
      <w:r>
        <w:rPr>
          <w:rFonts w:ascii="仿宋_GB2312" w:eastAsia="仿宋_GB2312" w:hint="eastAsia"/>
          <w:sz w:val="32"/>
          <w:szCs w:val="32"/>
        </w:rPr>
        <w:t>〔</w:t>
      </w:r>
      <w:bookmarkStart w:id="2" w:name="YEARSN"/>
      <w:r>
        <w:rPr>
          <w:rFonts w:ascii="仿宋_GB2312" w:eastAsia="仿宋_GB2312"/>
          <w:sz w:val="32"/>
          <w:szCs w:val="32"/>
        </w:rPr>
        <w:t>201</w:t>
      </w:r>
      <w:bookmarkEnd w:id="2"/>
      <w:r>
        <w:rPr>
          <w:rFonts w:ascii="仿宋_GB2312" w:eastAsia="仿宋_GB2312" w:hint="eastAsia"/>
          <w:sz w:val="32"/>
          <w:szCs w:val="32"/>
        </w:rPr>
        <w:t>9〕12号)等文件精神，特制订本</w:t>
      </w:r>
      <w:r w:rsidR="005A30B5">
        <w:rPr>
          <w:rFonts w:ascii="仿宋_GB2312" w:eastAsia="仿宋_GB2312" w:hint="eastAsia"/>
          <w:sz w:val="32"/>
          <w:szCs w:val="32"/>
        </w:rPr>
        <w:t>实施细则</w:t>
      </w:r>
      <w:r>
        <w:rPr>
          <w:rFonts w:ascii="仿宋_GB2312" w:eastAsia="仿宋_GB2312" w:hint="eastAsia"/>
          <w:sz w:val="32"/>
          <w:szCs w:val="32"/>
        </w:rPr>
        <w:t>。</w:t>
      </w:r>
    </w:p>
    <w:p w:rsidR="00794D0E" w:rsidRDefault="008F7F95">
      <w:pPr>
        <w:spacing w:line="336" w:lineRule="auto"/>
        <w:ind w:firstLineChars="200" w:firstLine="640"/>
        <w:rPr>
          <w:rFonts w:ascii="黑体" w:eastAsia="黑体" w:hAnsi="黑体"/>
          <w:sz w:val="32"/>
          <w:szCs w:val="32"/>
        </w:rPr>
      </w:pPr>
      <w:r>
        <w:rPr>
          <w:rFonts w:ascii="黑体" w:eastAsia="黑体" w:hAnsi="黑体" w:hint="eastAsia"/>
          <w:sz w:val="32"/>
          <w:szCs w:val="32"/>
        </w:rPr>
        <w:t>一、主要目标</w:t>
      </w:r>
    </w:p>
    <w:p w:rsidR="00794D0E" w:rsidRDefault="002F1BE8">
      <w:pPr>
        <w:spacing w:line="336" w:lineRule="auto"/>
        <w:ind w:firstLineChars="200" w:firstLine="640"/>
        <w:rPr>
          <w:rFonts w:ascii="仿宋_GB2312" w:eastAsia="仿宋_GB2312" w:hAnsi="Times New Roman"/>
          <w:bCs/>
          <w:color w:val="000000"/>
          <w:kern w:val="0"/>
          <w:sz w:val="32"/>
          <w:szCs w:val="32"/>
        </w:rPr>
      </w:pPr>
      <w:r>
        <w:rPr>
          <w:rFonts w:ascii="仿宋_GB2312" w:eastAsia="仿宋_GB2312" w:hAnsi="仿宋" w:hint="eastAsia"/>
          <w:color w:val="000000"/>
          <w:kern w:val="0"/>
          <w:sz w:val="32"/>
          <w:szCs w:val="32"/>
        </w:rPr>
        <w:t>根据</w:t>
      </w:r>
      <w:r w:rsidR="008F7F95">
        <w:rPr>
          <w:rFonts w:ascii="仿宋_GB2312" w:eastAsia="仿宋_GB2312" w:hAnsi="仿宋" w:hint="eastAsia"/>
          <w:color w:val="000000"/>
          <w:kern w:val="0"/>
          <w:sz w:val="32"/>
          <w:szCs w:val="32"/>
        </w:rPr>
        <w:t>省</w:t>
      </w:r>
      <w:r w:rsidR="00C86845">
        <w:rPr>
          <w:rFonts w:ascii="仿宋_GB2312" w:eastAsia="仿宋_GB2312" w:hAnsi="仿宋" w:hint="eastAsia"/>
          <w:color w:val="000000"/>
          <w:kern w:val="0"/>
          <w:sz w:val="32"/>
          <w:szCs w:val="32"/>
        </w:rPr>
        <w:t>医疗保障局等五部门的</w:t>
      </w:r>
      <w:r w:rsidR="008F7F95">
        <w:rPr>
          <w:rFonts w:ascii="仿宋_GB2312" w:eastAsia="仿宋_GB2312" w:hAnsi="仿宋" w:hint="eastAsia"/>
          <w:color w:val="000000"/>
          <w:kern w:val="0"/>
          <w:sz w:val="32"/>
          <w:szCs w:val="32"/>
        </w:rPr>
        <w:t>统一</w:t>
      </w:r>
      <w:r w:rsidR="00B677E7">
        <w:rPr>
          <w:rFonts w:ascii="仿宋_GB2312" w:eastAsia="仿宋_GB2312" w:hAnsi="仿宋" w:hint="eastAsia"/>
          <w:color w:val="000000"/>
          <w:kern w:val="0"/>
          <w:sz w:val="32"/>
          <w:szCs w:val="32"/>
        </w:rPr>
        <w:t>要求</w:t>
      </w:r>
      <w:r w:rsidR="008F7F95">
        <w:rPr>
          <w:rFonts w:ascii="仿宋_GB2312" w:eastAsia="仿宋_GB2312" w:hAnsi="仿宋" w:hint="eastAsia"/>
          <w:color w:val="000000"/>
          <w:kern w:val="0"/>
          <w:sz w:val="32"/>
          <w:szCs w:val="32"/>
        </w:rPr>
        <w:t>，</w:t>
      </w:r>
      <w:r w:rsidR="00B677E7">
        <w:rPr>
          <w:rFonts w:ascii="仿宋_GB2312" w:eastAsia="仿宋_GB2312" w:hAnsi="仿宋" w:hint="eastAsia"/>
          <w:color w:val="000000"/>
          <w:kern w:val="0"/>
          <w:sz w:val="32"/>
          <w:szCs w:val="32"/>
        </w:rPr>
        <w:t>我市</w:t>
      </w:r>
      <w:r w:rsidR="008F7F95">
        <w:rPr>
          <w:rFonts w:ascii="仿宋_GB2312" w:eastAsia="仿宋_GB2312" w:hAnsi="Times New Roman" w:hint="eastAsia"/>
          <w:bCs/>
          <w:color w:val="000000"/>
          <w:kern w:val="0"/>
          <w:sz w:val="32"/>
          <w:szCs w:val="32"/>
        </w:rPr>
        <w:t>医保基金支出年增速原则上不超过10%</w:t>
      </w:r>
      <w:r>
        <w:rPr>
          <w:rFonts w:ascii="仿宋_GB2312" w:eastAsia="仿宋_GB2312" w:hAnsi="Times New Roman" w:hint="eastAsia"/>
          <w:bCs/>
          <w:color w:val="000000"/>
          <w:kern w:val="0"/>
          <w:sz w:val="32"/>
          <w:szCs w:val="32"/>
        </w:rPr>
        <w:t>，</w:t>
      </w:r>
      <w:r w:rsidR="008F7F95">
        <w:rPr>
          <w:rFonts w:ascii="仿宋_GB2312" w:eastAsia="仿宋_GB2312" w:hAnsi="Times New Roman" w:hint="eastAsia"/>
          <w:bCs/>
          <w:color w:val="000000"/>
          <w:kern w:val="0"/>
          <w:sz w:val="32"/>
          <w:szCs w:val="32"/>
        </w:rPr>
        <w:t>到2022年，基层就诊率达到65%以上，县域就诊率达到90%以上。2019年，医共体支付方式改革全面启动，进一步完善</w:t>
      </w:r>
      <w:r w:rsidR="008F7F95">
        <w:rPr>
          <w:rFonts w:ascii="仿宋_GB2312" w:eastAsia="仿宋_GB2312" w:hAnsi="仿宋" w:hint="eastAsia"/>
          <w:color w:val="000000"/>
          <w:kern w:val="0"/>
          <w:sz w:val="32"/>
          <w:szCs w:val="32"/>
        </w:rPr>
        <w:t>总额预算管理，制定按疾病诊断相关分组（以下简称DRGs）及其付费点数计算办法。</w:t>
      </w:r>
      <w:r w:rsidR="008F7F95">
        <w:rPr>
          <w:rFonts w:ascii="仿宋_GB2312" w:eastAsia="仿宋_GB2312" w:hAnsi="Times New Roman" w:hint="eastAsia"/>
          <w:bCs/>
          <w:color w:val="000000"/>
          <w:kern w:val="0"/>
          <w:sz w:val="32"/>
          <w:szCs w:val="32"/>
        </w:rPr>
        <w:t>2020年，医共体支付方式改革全面实施，在总额预算管理下的多元复合式支付方式基本建成。2021年，医保基金预算更加合理、分类方法更加科学、协同保障更加有力、资源配置更加有效的医保支付体系全面建成。</w:t>
      </w:r>
    </w:p>
    <w:p w:rsidR="00794D0E" w:rsidRDefault="008F7F95">
      <w:pPr>
        <w:spacing w:line="336" w:lineRule="auto"/>
        <w:ind w:firstLineChars="200" w:firstLine="640"/>
        <w:rPr>
          <w:rFonts w:ascii="黑体" w:eastAsia="黑体" w:hAnsi="黑体"/>
          <w:sz w:val="32"/>
          <w:szCs w:val="32"/>
        </w:rPr>
      </w:pPr>
      <w:r>
        <w:rPr>
          <w:rFonts w:ascii="黑体" w:eastAsia="黑体" w:hAnsi="黑体" w:hint="eastAsia"/>
          <w:sz w:val="32"/>
          <w:szCs w:val="32"/>
        </w:rPr>
        <w:t>二、工作措施</w:t>
      </w:r>
    </w:p>
    <w:p w:rsidR="00794D0E" w:rsidRDefault="008F7F95">
      <w:pPr>
        <w:spacing w:line="336" w:lineRule="auto"/>
        <w:ind w:firstLineChars="200" w:firstLine="640"/>
        <w:rPr>
          <w:rFonts w:ascii="楷体" w:eastAsia="楷体" w:hAnsi="楷体"/>
          <w:sz w:val="32"/>
          <w:szCs w:val="32"/>
        </w:rPr>
      </w:pPr>
      <w:r>
        <w:rPr>
          <w:rFonts w:ascii="楷体" w:eastAsia="楷体" w:hAnsi="楷体" w:hint="eastAsia"/>
          <w:sz w:val="32"/>
          <w:szCs w:val="32"/>
        </w:rPr>
        <w:t>(一)加强医保基金预决算管理</w:t>
      </w:r>
    </w:p>
    <w:p w:rsidR="00794D0E" w:rsidRDefault="008F7F95">
      <w:pPr>
        <w:spacing w:line="336" w:lineRule="auto"/>
        <w:ind w:firstLineChars="200" w:firstLine="640"/>
        <w:rPr>
          <w:rFonts w:ascii="仿宋_GB2312" w:eastAsia="仿宋_GB2312"/>
          <w:sz w:val="32"/>
          <w:szCs w:val="32"/>
        </w:rPr>
      </w:pPr>
      <w:r>
        <w:rPr>
          <w:rFonts w:ascii="仿宋_GB2312" w:eastAsia="仿宋_GB2312" w:hint="eastAsia"/>
          <w:sz w:val="32"/>
          <w:szCs w:val="32"/>
        </w:rPr>
        <w:t>坚持以医保基金预算管理为基础，科学编制并严格执行</w:t>
      </w:r>
      <w:r>
        <w:rPr>
          <w:rFonts w:ascii="仿宋_GB2312" w:eastAsia="仿宋_GB2312" w:hint="eastAsia"/>
          <w:sz w:val="32"/>
          <w:szCs w:val="32"/>
        </w:rPr>
        <w:lastRenderedPageBreak/>
        <w:t>医保基金收支预算，合理优化基金支出结构，将医保支付方式改革覆盖全市所有定点医药机构（以下简称医药机构）。</w:t>
      </w:r>
    </w:p>
    <w:p w:rsidR="00794D0E" w:rsidRDefault="008F7F95">
      <w:pPr>
        <w:spacing w:line="336" w:lineRule="auto"/>
        <w:ind w:firstLineChars="200" w:firstLine="640"/>
        <w:rPr>
          <w:rFonts w:ascii="仿宋_GB2312" w:eastAsia="仿宋_GB2312"/>
          <w:sz w:val="32"/>
          <w:szCs w:val="32"/>
        </w:rPr>
      </w:pPr>
      <w:r>
        <w:rPr>
          <w:rFonts w:ascii="仿宋_GB2312" w:eastAsia="仿宋_GB2312" w:hint="eastAsia"/>
          <w:sz w:val="32"/>
          <w:szCs w:val="32"/>
        </w:rPr>
        <w:t>1.科学编制医保基金收支预算。在保持医保基金收支平衡的前提下，以保障基本、科学合理、公开透明、奖惩并重为原则，合理编制医保基金收支预算。根据全市上年度基金实际支出和预计支出增长情况核定基金支出总额，确保基金安全可持续运行。</w:t>
      </w:r>
    </w:p>
    <w:p w:rsidR="00794D0E" w:rsidRDefault="008F7F95">
      <w:pPr>
        <w:spacing w:line="336" w:lineRule="auto"/>
        <w:ind w:firstLineChars="200" w:firstLine="640"/>
        <w:rPr>
          <w:rFonts w:ascii="仿宋_GB2312" w:eastAsia="仿宋_GB2312"/>
          <w:sz w:val="32"/>
          <w:szCs w:val="32"/>
        </w:rPr>
      </w:pPr>
      <w:r>
        <w:rPr>
          <w:rFonts w:ascii="仿宋_GB2312" w:eastAsia="仿宋_GB2312" w:hint="eastAsia"/>
          <w:sz w:val="32"/>
          <w:szCs w:val="32"/>
        </w:rPr>
        <w:t>2.</w:t>
      </w:r>
      <w:r>
        <w:rPr>
          <w:rFonts w:eastAsia="仿宋_GB2312"/>
          <w:color w:val="000000" w:themeColor="text1"/>
          <w:sz w:val="32"/>
          <w:szCs w:val="32"/>
        </w:rPr>
        <w:t>强化激励约束机制。建立</w:t>
      </w:r>
      <w:r>
        <w:rPr>
          <w:rFonts w:eastAsia="仿宋_GB2312"/>
          <w:color w:val="000000" w:themeColor="text1"/>
          <w:sz w:val="32"/>
          <w:szCs w:val="32"/>
        </w:rPr>
        <w:t>“</w:t>
      </w:r>
      <w:r>
        <w:rPr>
          <w:rFonts w:eastAsia="仿宋_GB2312"/>
          <w:color w:val="000000" w:themeColor="text1"/>
          <w:sz w:val="32"/>
          <w:szCs w:val="32"/>
        </w:rPr>
        <w:t>结余留用、超支分担</w:t>
      </w:r>
      <w:r>
        <w:rPr>
          <w:rFonts w:eastAsia="仿宋_GB2312"/>
          <w:color w:val="000000" w:themeColor="text1"/>
          <w:sz w:val="32"/>
          <w:szCs w:val="32"/>
        </w:rPr>
        <w:t>”</w:t>
      </w:r>
      <w:r>
        <w:rPr>
          <w:rFonts w:eastAsia="仿宋_GB2312"/>
          <w:color w:val="000000" w:themeColor="text1"/>
          <w:sz w:val="32"/>
          <w:szCs w:val="32"/>
        </w:rPr>
        <w:t>的责任共担机制。充分发挥医共体对县域内外诊疗结构和医疗费用结构的调节作用，引导分级诊疗。统筹区医保基金年度清算出现结余或超支的，应在分析原因、厘清责任的基础上，由</w:t>
      </w:r>
      <w:r>
        <w:rPr>
          <w:rFonts w:eastAsia="仿宋_GB2312" w:hint="eastAsia"/>
          <w:color w:val="000000" w:themeColor="text1"/>
          <w:sz w:val="32"/>
          <w:szCs w:val="32"/>
        </w:rPr>
        <w:t>医药</w:t>
      </w:r>
      <w:r w:rsidR="00B677E7">
        <w:rPr>
          <w:rFonts w:eastAsia="仿宋_GB2312"/>
          <w:color w:val="000000" w:themeColor="text1"/>
          <w:sz w:val="32"/>
          <w:szCs w:val="32"/>
        </w:rPr>
        <w:t>机构和医保基金按一定比例留用或分担。适当留用和分担的比例</w:t>
      </w:r>
      <w:r>
        <w:rPr>
          <w:rFonts w:eastAsia="仿宋_GB2312"/>
          <w:color w:val="000000" w:themeColor="text1"/>
          <w:sz w:val="32"/>
          <w:szCs w:val="32"/>
        </w:rPr>
        <w:t>由</w:t>
      </w:r>
      <w:r>
        <w:rPr>
          <w:rFonts w:ascii="仿宋_GB2312" w:eastAsia="仿宋_GB2312" w:hint="eastAsia"/>
          <w:color w:val="000000" w:themeColor="text1"/>
          <w:sz w:val="32"/>
          <w:szCs w:val="32"/>
        </w:rPr>
        <w:t>基本医疗保险费用结算管理联席会议</w:t>
      </w:r>
      <w:r w:rsidR="00B677E7">
        <w:rPr>
          <w:rFonts w:ascii="仿宋_GB2312" w:eastAsia="仿宋_GB2312" w:hint="eastAsia"/>
          <w:color w:val="000000" w:themeColor="text1"/>
          <w:sz w:val="32"/>
          <w:szCs w:val="32"/>
        </w:rPr>
        <w:t>研究</w:t>
      </w:r>
      <w:r>
        <w:rPr>
          <w:rFonts w:ascii="仿宋_GB2312" w:eastAsia="仿宋_GB2312" w:hint="eastAsia"/>
          <w:color w:val="000000" w:themeColor="text1"/>
          <w:sz w:val="32"/>
          <w:szCs w:val="32"/>
        </w:rPr>
        <w:t>决定并</w:t>
      </w:r>
      <w:r w:rsidR="00B677E7">
        <w:rPr>
          <w:rFonts w:ascii="仿宋_GB2312" w:eastAsia="仿宋_GB2312" w:hint="eastAsia"/>
          <w:color w:val="000000" w:themeColor="text1"/>
          <w:sz w:val="32"/>
          <w:szCs w:val="32"/>
        </w:rPr>
        <w:t>根据基金收支结余情况</w:t>
      </w:r>
      <w:r>
        <w:rPr>
          <w:rFonts w:eastAsia="仿宋_GB2312"/>
          <w:color w:val="000000" w:themeColor="text1"/>
          <w:sz w:val="32"/>
          <w:szCs w:val="32"/>
        </w:rPr>
        <w:t>动态调整。</w:t>
      </w:r>
    </w:p>
    <w:p w:rsidR="00794D0E" w:rsidRDefault="008F7F95">
      <w:pPr>
        <w:spacing w:line="336" w:lineRule="auto"/>
        <w:ind w:firstLineChars="200" w:firstLine="640"/>
        <w:rPr>
          <w:rFonts w:ascii="仿宋_GB2312" w:eastAsia="仿宋_GB2312"/>
          <w:sz w:val="32"/>
          <w:szCs w:val="32"/>
        </w:rPr>
      </w:pPr>
      <w:r>
        <w:rPr>
          <w:rFonts w:ascii="仿宋_GB2312" w:eastAsia="仿宋_GB2312" w:hint="eastAsia"/>
          <w:sz w:val="32"/>
          <w:szCs w:val="32"/>
        </w:rPr>
        <w:t>3.</w:t>
      </w:r>
      <w:r>
        <w:rPr>
          <w:rFonts w:eastAsia="仿宋_GB2312"/>
          <w:color w:val="000000" w:themeColor="text1"/>
          <w:sz w:val="32"/>
          <w:szCs w:val="32"/>
        </w:rPr>
        <w:t>优化决算管理。进行医保基金年度决算和清算时，对于确因政策变动、疾病爆发等客观因素导致基金支出发生重大变动的，医保总额预算</w:t>
      </w:r>
      <w:r w:rsidR="00B677E7">
        <w:rPr>
          <w:rFonts w:eastAsia="仿宋_GB2312" w:hint="eastAsia"/>
          <w:color w:val="000000" w:themeColor="text1"/>
          <w:sz w:val="32"/>
          <w:szCs w:val="32"/>
        </w:rPr>
        <w:t>可</w:t>
      </w:r>
      <w:r>
        <w:rPr>
          <w:rFonts w:eastAsia="仿宋_GB2312"/>
          <w:color w:val="000000" w:themeColor="text1"/>
          <w:sz w:val="32"/>
          <w:szCs w:val="32"/>
        </w:rPr>
        <w:t>给予合理调整。</w:t>
      </w:r>
    </w:p>
    <w:p w:rsidR="00794D0E" w:rsidRDefault="008F7F95">
      <w:pPr>
        <w:spacing w:line="336" w:lineRule="auto"/>
        <w:ind w:firstLineChars="200" w:firstLine="640"/>
        <w:rPr>
          <w:rFonts w:ascii="楷体" w:eastAsia="楷体" w:hAnsi="楷体"/>
          <w:sz w:val="32"/>
          <w:szCs w:val="32"/>
        </w:rPr>
      </w:pPr>
      <w:r>
        <w:rPr>
          <w:rFonts w:ascii="楷体" w:eastAsia="楷体" w:hAnsi="楷体" w:hint="eastAsia"/>
          <w:sz w:val="32"/>
          <w:szCs w:val="32"/>
        </w:rPr>
        <w:t>(二)实施总额预算管理下的多元复合式医保支付方式改革</w:t>
      </w:r>
    </w:p>
    <w:p w:rsidR="00794D0E" w:rsidRDefault="008F7F95">
      <w:pPr>
        <w:spacing w:line="336" w:lineRule="auto"/>
        <w:ind w:firstLineChars="200" w:firstLine="640"/>
        <w:rPr>
          <w:rFonts w:ascii="仿宋_GB2312" w:eastAsia="仿宋_GB2312"/>
          <w:sz w:val="32"/>
          <w:szCs w:val="32"/>
        </w:rPr>
      </w:pPr>
      <w:r>
        <w:rPr>
          <w:rFonts w:ascii="仿宋_GB2312" w:eastAsia="仿宋_GB2312" w:hint="eastAsia"/>
          <w:sz w:val="32"/>
          <w:szCs w:val="32"/>
        </w:rPr>
        <w:t>在现有医保支付方式基础上，结合本地实际，</w:t>
      </w:r>
      <w:r>
        <w:rPr>
          <w:rFonts w:ascii="Times New Roman" w:eastAsia="仿宋_GB2312" w:hAnsi="仿宋" w:hint="eastAsia"/>
          <w:sz w:val="32"/>
          <w:szCs w:val="32"/>
        </w:rPr>
        <w:t>加快推进在总额预算管理下的</w:t>
      </w:r>
      <w:r>
        <w:rPr>
          <w:rFonts w:ascii="仿宋_GB2312" w:eastAsia="仿宋_GB2312" w:hAnsi="仿宋" w:hint="eastAsia"/>
          <w:color w:val="000000"/>
          <w:kern w:val="0"/>
          <w:sz w:val="32"/>
          <w:szCs w:val="32"/>
        </w:rPr>
        <w:t>DRGs点数法</w:t>
      </w:r>
      <w:r>
        <w:rPr>
          <w:rFonts w:ascii="Times New Roman" w:eastAsia="仿宋_GB2312" w:hAnsi="仿宋" w:hint="eastAsia"/>
          <w:sz w:val="32"/>
          <w:szCs w:val="32"/>
        </w:rPr>
        <w:t>付费、按床日付费、按人头付费和按项目付费等相结合的复合式支付方式改革</w:t>
      </w:r>
      <w:r>
        <w:rPr>
          <w:rFonts w:ascii="仿宋_GB2312" w:eastAsia="仿宋_GB2312" w:hint="eastAsia"/>
          <w:sz w:val="32"/>
          <w:szCs w:val="32"/>
        </w:rPr>
        <w:t>。对住</w:t>
      </w:r>
      <w:r>
        <w:rPr>
          <w:rFonts w:ascii="仿宋_GB2312" w:eastAsia="仿宋_GB2312" w:hint="eastAsia"/>
          <w:sz w:val="32"/>
          <w:szCs w:val="32"/>
        </w:rPr>
        <w:lastRenderedPageBreak/>
        <w:t>院医疗服务，主要按</w:t>
      </w:r>
      <w:r>
        <w:rPr>
          <w:rFonts w:ascii="仿宋_GB2312" w:eastAsia="仿宋_GB2312"/>
          <w:sz w:val="32"/>
          <w:szCs w:val="32"/>
        </w:rPr>
        <w:t>DRGs点数法付费；对长期、慢性病住院医疗服务，逐步推行按床日付费；对门诊医疗服务，探索结合家庭医生签约服务，实行按人头付费；探索符合中医药服务特点的支付方式。</w:t>
      </w:r>
    </w:p>
    <w:p w:rsidR="00794D0E" w:rsidRDefault="008F7F95">
      <w:pPr>
        <w:spacing w:line="336" w:lineRule="auto"/>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color w:val="000000" w:themeColor="text1"/>
          <w:sz w:val="32"/>
          <w:szCs w:val="32"/>
        </w:rPr>
        <w:t>．</w:t>
      </w:r>
      <w:r>
        <w:rPr>
          <w:rFonts w:ascii="仿宋_GB2312" w:eastAsia="仿宋_GB2312" w:hint="eastAsia"/>
          <w:sz w:val="32"/>
          <w:szCs w:val="32"/>
        </w:rPr>
        <w:t>完善总额预算管理</w:t>
      </w:r>
    </w:p>
    <w:p w:rsidR="00794D0E" w:rsidRDefault="008F7F95">
      <w:pPr>
        <w:spacing w:line="336" w:lineRule="auto"/>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w:t>
      </w:r>
      <w:r>
        <w:rPr>
          <w:rFonts w:ascii="仿宋_GB2312" w:eastAsia="仿宋_GB2312"/>
          <w:sz w:val="32"/>
          <w:szCs w:val="32"/>
        </w:rPr>
        <w:t>按照</w:t>
      </w:r>
      <w:r>
        <w:rPr>
          <w:rFonts w:ascii="仿宋_GB2312" w:eastAsia="仿宋_GB2312"/>
          <w:sz w:val="32"/>
          <w:szCs w:val="32"/>
        </w:rPr>
        <w:t>“</w:t>
      </w:r>
      <w:r>
        <w:rPr>
          <w:rFonts w:ascii="仿宋_GB2312" w:eastAsia="仿宋_GB2312"/>
          <w:sz w:val="32"/>
          <w:szCs w:val="32"/>
        </w:rPr>
        <w:t>以收定支、收支平衡、略有结余</w:t>
      </w:r>
      <w:r>
        <w:rPr>
          <w:rFonts w:ascii="仿宋_GB2312" w:eastAsia="仿宋_GB2312"/>
          <w:sz w:val="32"/>
          <w:szCs w:val="32"/>
        </w:rPr>
        <w:t>”</w:t>
      </w:r>
      <w:r>
        <w:rPr>
          <w:rFonts w:ascii="仿宋_GB2312" w:eastAsia="仿宋_GB2312"/>
          <w:sz w:val="32"/>
          <w:szCs w:val="32"/>
        </w:rPr>
        <w:t>的原则，</w:t>
      </w:r>
      <w:r>
        <w:rPr>
          <w:rFonts w:ascii="仿宋_GB2312" w:eastAsia="仿宋_GB2312" w:hint="eastAsia"/>
          <w:sz w:val="32"/>
          <w:szCs w:val="32"/>
        </w:rPr>
        <w:t>根据各医药机构的医疗费决算情况、同级同类医药机构的平均费用水平，</w:t>
      </w:r>
      <w:r>
        <w:rPr>
          <w:rFonts w:ascii="仿宋_GB2312" w:eastAsia="仿宋_GB2312"/>
          <w:sz w:val="32"/>
          <w:szCs w:val="32"/>
        </w:rPr>
        <w:t>以上一年度医保基金收支决算结果为基础，</w:t>
      </w:r>
      <w:r>
        <w:rPr>
          <w:rFonts w:ascii="仿宋_GB2312" w:eastAsia="仿宋_GB2312" w:hint="eastAsia"/>
          <w:sz w:val="32"/>
          <w:szCs w:val="32"/>
        </w:rPr>
        <w:t>综合考虑下一年度收入预算、重大政策调整、上年度医疗费的变化情况以及本市经济社会发展水平等因素</w:t>
      </w:r>
      <w:r>
        <w:rPr>
          <w:rFonts w:ascii="仿宋_GB2312" w:eastAsia="仿宋_GB2312"/>
          <w:sz w:val="32"/>
          <w:szCs w:val="32"/>
        </w:rPr>
        <w:t>确定下一年度</w:t>
      </w:r>
      <w:r>
        <w:rPr>
          <w:rFonts w:ascii="仿宋_GB2312" w:eastAsia="仿宋_GB2312" w:hint="eastAsia"/>
          <w:sz w:val="32"/>
          <w:szCs w:val="32"/>
        </w:rPr>
        <w:t>预算总额</w:t>
      </w:r>
      <w:r>
        <w:rPr>
          <w:rFonts w:ascii="仿宋_GB2312" w:eastAsia="仿宋_GB2312"/>
          <w:sz w:val="32"/>
          <w:szCs w:val="32"/>
        </w:rPr>
        <w:t>。</w:t>
      </w:r>
    </w:p>
    <w:p w:rsidR="00794D0E" w:rsidRDefault="008F7F95">
      <w:pPr>
        <w:spacing w:line="336" w:lineRule="auto"/>
        <w:ind w:firstLineChars="200" w:firstLine="640"/>
        <w:rPr>
          <w:rFonts w:ascii="仿宋_GB2312" w:eastAsia="仿宋_GB2312"/>
          <w:sz w:val="32"/>
          <w:szCs w:val="32"/>
        </w:rPr>
      </w:pPr>
      <w:r>
        <w:rPr>
          <w:rFonts w:ascii="仿宋_GB2312" w:eastAsia="仿宋_GB2312" w:hint="eastAsia"/>
          <w:sz w:val="32"/>
          <w:szCs w:val="32"/>
        </w:rPr>
        <w:t>（2）</w:t>
      </w:r>
      <w:r>
        <w:rPr>
          <w:rFonts w:eastAsia="仿宋_GB2312"/>
          <w:color w:val="000000" w:themeColor="text1"/>
          <w:sz w:val="32"/>
          <w:szCs w:val="32"/>
        </w:rPr>
        <w:t>根据确定的医保基金支出总额预算，合理分配住院及门诊预算额度。</w:t>
      </w:r>
      <w:r>
        <w:rPr>
          <w:rFonts w:eastAsia="仿宋_GB2312" w:hint="eastAsia"/>
          <w:color w:val="000000" w:themeColor="text1"/>
          <w:sz w:val="32"/>
          <w:szCs w:val="32"/>
        </w:rPr>
        <w:t>未实施</w:t>
      </w:r>
      <w:r>
        <w:rPr>
          <w:rFonts w:eastAsia="仿宋_GB2312" w:hint="eastAsia"/>
          <w:color w:val="000000" w:themeColor="text1"/>
          <w:sz w:val="32"/>
          <w:szCs w:val="32"/>
        </w:rPr>
        <w:t>DRGs</w:t>
      </w:r>
      <w:r>
        <w:rPr>
          <w:rFonts w:eastAsia="仿宋_GB2312" w:hint="eastAsia"/>
          <w:color w:val="000000" w:themeColor="text1"/>
          <w:sz w:val="32"/>
          <w:szCs w:val="32"/>
        </w:rPr>
        <w:t>点数法付费前，总额预算管理按</w:t>
      </w:r>
      <w:r>
        <w:rPr>
          <w:rFonts w:ascii="仿宋_GB2312" w:eastAsia="仿宋_GB2312" w:hAnsi="Calibri" w:hint="eastAsia"/>
          <w:sz w:val="32"/>
          <w:szCs w:val="32"/>
        </w:rPr>
        <w:t>现行医疗保险医疗费用结算管理有关规定执行，</w:t>
      </w:r>
      <w:r>
        <w:rPr>
          <w:rFonts w:ascii="仿宋_GB2312" w:eastAsia="仿宋_GB2312" w:hint="eastAsia"/>
          <w:sz w:val="32"/>
          <w:szCs w:val="32"/>
        </w:rPr>
        <w:t>医共体作为一个整体，下达预算指标并进行考核</w:t>
      </w:r>
      <w:r>
        <w:rPr>
          <w:rFonts w:ascii="仿宋_GB2312" w:eastAsia="仿宋_GB2312" w:hAnsi="Calibri" w:hint="eastAsia"/>
          <w:sz w:val="32"/>
          <w:szCs w:val="32"/>
        </w:rPr>
        <w:t>。</w:t>
      </w:r>
      <w:r>
        <w:rPr>
          <w:rFonts w:eastAsia="仿宋_GB2312"/>
          <w:color w:val="000000" w:themeColor="text1"/>
          <w:sz w:val="32"/>
          <w:szCs w:val="32"/>
        </w:rPr>
        <w:t>实施</w:t>
      </w:r>
      <w:r>
        <w:rPr>
          <w:rFonts w:eastAsia="仿宋_GB2312"/>
          <w:color w:val="000000" w:themeColor="text1"/>
          <w:sz w:val="32"/>
          <w:szCs w:val="32"/>
        </w:rPr>
        <w:t>DRGs</w:t>
      </w:r>
      <w:r>
        <w:rPr>
          <w:rFonts w:eastAsia="仿宋_GB2312"/>
          <w:color w:val="000000" w:themeColor="text1"/>
          <w:sz w:val="32"/>
          <w:szCs w:val="32"/>
        </w:rPr>
        <w:t>点数法付费</w:t>
      </w:r>
      <w:r>
        <w:rPr>
          <w:rFonts w:ascii="仿宋_GB2312" w:eastAsia="仿宋_GB2312" w:hAnsi="Calibri" w:hint="eastAsia"/>
          <w:sz w:val="32"/>
          <w:szCs w:val="32"/>
        </w:rPr>
        <w:t>后，住院医疗费</w:t>
      </w:r>
      <w:r>
        <w:rPr>
          <w:rFonts w:eastAsia="仿宋_GB2312"/>
          <w:color w:val="000000" w:themeColor="text1"/>
          <w:sz w:val="32"/>
          <w:szCs w:val="32"/>
        </w:rPr>
        <w:t>应以统筹区为一个整体预算单位（含异地就医费用），不再细分到各医共体及其他医药机构</w:t>
      </w:r>
      <w:r>
        <w:rPr>
          <w:rFonts w:eastAsia="仿宋_GB2312" w:hint="eastAsia"/>
          <w:color w:val="000000" w:themeColor="text1"/>
          <w:sz w:val="32"/>
          <w:szCs w:val="32"/>
        </w:rPr>
        <w:t>。</w:t>
      </w:r>
    </w:p>
    <w:p w:rsidR="00794D0E" w:rsidRDefault="008F7F95">
      <w:pPr>
        <w:spacing w:line="336" w:lineRule="auto"/>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Ansi="Calibri" w:hint="eastAsia"/>
          <w:sz w:val="32"/>
          <w:szCs w:val="32"/>
        </w:rPr>
        <w:t>医保经办机构可根据医药机构前后两年的实际变化情况，</w:t>
      </w:r>
      <w:r w:rsidR="00FC34D6">
        <w:rPr>
          <w:rFonts w:ascii="仿宋_GB2312" w:eastAsia="仿宋_GB2312" w:hAnsi="Calibri" w:hint="eastAsia"/>
          <w:sz w:val="32"/>
          <w:szCs w:val="32"/>
        </w:rPr>
        <w:t>经核实后</w:t>
      </w:r>
      <w:r>
        <w:rPr>
          <w:rFonts w:ascii="仿宋_GB2312" w:eastAsia="仿宋_GB2312" w:hAnsi="Calibri" w:hint="eastAsia"/>
          <w:sz w:val="32"/>
          <w:szCs w:val="32"/>
        </w:rPr>
        <w:t>对该医药机构的预算额度进行调整。</w:t>
      </w:r>
    </w:p>
    <w:p w:rsidR="00794D0E" w:rsidRDefault="008F7F95">
      <w:pPr>
        <w:spacing w:line="336" w:lineRule="auto"/>
        <w:ind w:firstLineChars="200" w:firstLine="640"/>
        <w:rPr>
          <w:rFonts w:ascii="仿宋_GB2312" w:eastAsia="仿宋_GB2312"/>
          <w:sz w:val="32"/>
          <w:szCs w:val="32"/>
        </w:rPr>
      </w:pPr>
      <w:r>
        <w:rPr>
          <w:rFonts w:ascii="仿宋_GB2312" w:eastAsia="仿宋_GB2312" w:hAnsi="宋体" w:hint="eastAsia"/>
          <w:kern w:val="0"/>
          <w:sz w:val="32"/>
          <w:szCs w:val="32"/>
        </w:rPr>
        <w:t>（</w:t>
      </w:r>
      <w:r>
        <w:rPr>
          <w:rFonts w:ascii="仿宋_GB2312" w:eastAsia="仿宋_GB2312" w:hAnsi="Calibri" w:hint="eastAsia"/>
          <w:kern w:val="0"/>
          <w:sz w:val="32"/>
          <w:szCs w:val="32"/>
        </w:rPr>
        <w:t>4）</w:t>
      </w:r>
      <w:r w:rsidR="00D60A27">
        <w:rPr>
          <w:rFonts w:ascii="仿宋_GB2312" w:eastAsia="仿宋_GB2312" w:hAnsi="Calibri" w:hint="eastAsia"/>
          <w:kern w:val="0"/>
          <w:sz w:val="32"/>
          <w:szCs w:val="32"/>
        </w:rPr>
        <w:t>进一步完善对医药机构总额预算各项考核指标的下达、决算、清算等管理措施。</w:t>
      </w:r>
      <w:r w:rsidR="00D60A27">
        <w:rPr>
          <w:rFonts w:ascii="仿宋_GB2312" w:eastAsia="仿宋_GB2312" w:hAnsi="宋体" w:hint="eastAsia"/>
          <w:sz w:val="32"/>
          <w:szCs w:val="32"/>
        </w:rPr>
        <w:t>医保经办机构可根据医药机构上年度指标执行情况，合理确定下一年度</w:t>
      </w:r>
      <w:r w:rsidR="00D60A27">
        <w:rPr>
          <w:rFonts w:ascii="仿宋_GB2312" w:eastAsia="仿宋_GB2312" w:hAnsi="Calibri" w:hint="eastAsia"/>
          <w:kern w:val="0"/>
          <w:sz w:val="32"/>
          <w:szCs w:val="32"/>
        </w:rPr>
        <w:t>各项指标</w:t>
      </w:r>
      <w:r w:rsidR="00D60A27" w:rsidRPr="0081709D">
        <w:rPr>
          <w:rFonts w:ascii="仿宋_GB2312" w:eastAsia="仿宋_GB2312" w:hAnsi="宋体" w:hint="eastAsia"/>
          <w:sz w:val="32"/>
          <w:szCs w:val="32"/>
        </w:rPr>
        <w:t>。</w:t>
      </w:r>
      <w:r w:rsidR="00D60A27">
        <w:rPr>
          <w:rFonts w:ascii="仿宋_GB2312" w:eastAsia="仿宋_GB2312" w:hAnsi="Calibri" w:hint="eastAsia"/>
          <w:kern w:val="0"/>
          <w:sz w:val="32"/>
          <w:szCs w:val="32"/>
        </w:rPr>
        <w:t>对于</w:t>
      </w:r>
      <w:r w:rsidR="00D60A27">
        <w:rPr>
          <w:rFonts w:ascii="仿宋_GB2312" w:eastAsia="仿宋_GB2312" w:hAnsi="Calibri" w:hint="eastAsia"/>
          <w:kern w:val="0"/>
          <w:sz w:val="32"/>
          <w:szCs w:val="32"/>
        </w:rPr>
        <w:lastRenderedPageBreak/>
        <w:t>同级同类医疗费用，应坚持“同病、同治、同标准”的原则，避免不同地区、不同医药机构间的不平衡。</w:t>
      </w:r>
    </w:p>
    <w:p w:rsidR="00794D0E" w:rsidRDefault="008F7F95">
      <w:pPr>
        <w:spacing w:line="336" w:lineRule="auto"/>
        <w:ind w:firstLineChars="200" w:firstLine="640"/>
        <w:rPr>
          <w:rFonts w:ascii="仿宋_GB2312" w:eastAsia="仿宋_GB2312" w:hAnsi="Calibri"/>
          <w:kern w:val="0"/>
          <w:sz w:val="32"/>
          <w:szCs w:val="32"/>
        </w:rPr>
      </w:pPr>
      <w:r>
        <w:rPr>
          <w:rFonts w:ascii="仿宋_GB2312" w:eastAsia="仿宋_GB2312" w:hint="eastAsia"/>
          <w:sz w:val="32"/>
          <w:szCs w:val="32"/>
        </w:rPr>
        <w:t>（5）</w:t>
      </w:r>
      <w:r w:rsidR="00B677E7">
        <w:rPr>
          <w:rFonts w:ascii="仿宋_GB2312" w:eastAsia="仿宋_GB2312" w:hAnsi="Calibri" w:hint="eastAsia"/>
          <w:kern w:val="0"/>
          <w:sz w:val="32"/>
          <w:szCs w:val="32"/>
        </w:rPr>
        <w:t>确保合理有效的医疗服务。</w:t>
      </w:r>
      <w:r>
        <w:rPr>
          <w:rFonts w:ascii="仿宋_GB2312" w:eastAsia="仿宋_GB2312" w:hint="eastAsia"/>
          <w:sz w:val="32"/>
          <w:szCs w:val="32"/>
        </w:rPr>
        <w:t>医保经办机构可</w:t>
      </w:r>
      <w:r>
        <w:rPr>
          <w:rFonts w:ascii="仿宋_GB2312" w:eastAsia="仿宋_GB2312" w:hAnsi="Calibri" w:hint="eastAsia"/>
          <w:kern w:val="0"/>
          <w:sz w:val="32"/>
          <w:szCs w:val="32"/>
        </w:rPr>
        <w:t>根据统筹区参保人数及疾病谱变化等因素综合评定，</w:t>
      </w:r>
      <w:r w:rsidR="00FC34D6">
        <w:rPr>
          <w:rFonts w:ascii="仿宋_GB2312" w:eastAsia="仿宋_GB2312" w:hAnsi="Calibri" w:hint="eastAsia"/>
          <w:kern w:val="0"/>
          <w:sz w:val="32"/>
          <w:szCs w:val="32"/>
        </w:rPr>
        <w:t>年度内医药机构服务人数应在合理范围内，</w:t>
      </w:r>
      <w:r>
        <w:rPr>
          <w:rFonts w:ascii="仿宋_GB2312" w:eastAsia="仿宋_GB2312" w:hAnsi="Calibri" w:hint="eastAsia"/>
          <w:kern w:val="0"/>
          <w:sz w:val="32"/>
          <w:szCs w:val="32"/>
        </w:rPr>
        <w:t>对于医药机构人为制造就诊人头致使医保总额预算管理指标失真的，其增加的人头数可作为无效人头予以剔除。</w:t>
      </w:r>
    </w:p>
    <w:p w:rsidR="00794D0E" w:rsidRDefault="008F7F95">
      <w:pPr>
        <w:spacing w:line="336" w:lineRule="auto"/>
        <w:ind w:firstLineChars="200" w:firstLine="640"/>
        <w:rPr>
          <w:rFonts w:ascii="仿宋_GB2312" w:eastAsia="仿宋_GB2312" w:hAnsi="Calibri"/>
          <w:sz w:val="32"/>
          <w:szCs w:val="32"/>
        </w:rPr>
      </w:pPr>
      <w:r>
        <w:rPr>
          <w:rFonts w:ascii="仿宋_GB2312" w:eastAsia="仿宋_GB2312" w:hAnsi="Calibri" w:hint="eastAsia"/>
          <w:kern w:val="0"/>
          <w:sz w:val="32"/>
          <w:szCs w:val="32"/>
        </w:rPr>
        <w:t>（6）</w:t>
      </w:r>
      <w:r>
        <w:rPr>
          <w:rFonts w:ascii="仿宋_GB2312" w:eastAsia="仿宋_GB2312" w:hAnsi="Times New Roman" w:hint="eastAsia"/>
          <w:sz w:val="32"/>
          <w:szCs w:val="32"/>
        </w:rPr>
        <w:t>医保经办机构要细化拨付额度控制，对费用异常增长的，要予以暂缓拨付费用。</w:t>
      </w:r>
      <w:r>
        <w:rPr>
          <w:rFonts w:ascii="仿宋_GB2312" w:eastAsia="仿宋_GB2312" w:hAnsi="Calibri" w:hint="eastAsia"/>
          <w:sz w:val="32"/>
          <w:szCs w:val="32"/>
        </w:rPr>
        <w:t>总额预算年度清算结束后，医药机构被查实既往年度存在违规，导致总额预算管理指标失真的，应对其相关年度发生的医疗费用进行重新考核清算，已支付的相关医保基金予以追回。</w:t>
      </w:r>
    </w:p>
    <w:p w:rsidR="00D60A27" w:rsidRDefault="00D60A27">
      <w:pPr>
        <w:spacing w:line="336" w:lineRule="auto"/>
        <w:ind w:firstLineChars="200" w:firstLine="640"/>
        <w:rPr>
          <w:rFonts w:ascii="仿宋_GB2312" w:eastAsia="仿宋_GB2312" w:hAnsi="Calibri"/>
          <w:sz w:val="32"/>
          <w:szCs w:val="32"/>
        </w:rPr>
      </w:pPr>
      <w:r>
        <w:rPr>
          <w:rFonts w:ascii="仿宋_GB2312" w:eastAsia="仿宋_GB2312" w:hAnsi="Calibri" w:hint="eastAsia"/>
          <w:sz w:val="32"/>
          <w:szCs w:val="32"/>
        </w:rPr>
        <w:t>（7）总额预算年度清算时，</w:t>
      </w:r>
      <w:r w:rsidRPr="0081709D">
        <w:rPr>
          <w:rFonts w:ascii="仿宋_GB2312" w:eastAsia="仿宋_GB2312" w:hAnsi="宋体" w:hint="eastAsia"/>
          <w:sz w:val="32"/>
          <w:szCs w:val="32"/>
        </w:rPr>
        <w:t>对</w:t>
      </w:r>
      <w:r>
        <w:rPr>
          <w:rFonts w:ascii="仿宋_GB2312" w:eastAsia="仿宋_GB2312" w:hAnsi="宋体" w:hint="eastAsia"/>
          <w:sz w:val="32"/>
          <w:szCs w:val="32"/>
        </w:rPr>
        <w:t>因医保</w:t>
      </w:r>
      <w:r w:rsidRPr="0081709D">
        <w:rPr>
          <w:rFonts w:ascii="仿宋_GB2312" w:eastAsia="仿宋_GB2312" w:hAnsi="宋体" w:hint="eastAsia"/>
          <w:sz w:val="32"/>
          <w:szCs w:val="32"/>
        </w:rPr>
        <w:t>违规被处理</w:t>
      </w:r>
      <w:r>
        <w:rPr>
          <w:rFonts w:ascii="仿宋_GB2312" w:eastAsia="仿宋_GB2312" w:hAnsi="宋体" w:hint="eastAsia"/>
          <w:sz w:val="32"/>
          <w:szCs w:val="32"/>
        </w:rPr>
        <w:t>或正在处理</w:t>
      </w:r>
      <w:r w:rsidRPr="0081709D">
        <w:rPr>
          <w:rFonts w:ascii="仿宋_GB2312" w:eastAsia="仿宋_GB2312" w:hAnsi="宋体" w:hint="eastAsia"/>
          <w:sz w:val="32"/>
          <w:szCs w:val="32"/>
        </w:rPr>
        <w:t>的医药机构，</w:t>
      </w:r>
      <w:r w:rsidR="00FC34D6">
        <w:rPr>
          <w:rFonts w:ascii="仿宋_GB2312" w:eastAsia="仿宋_GB2312" w:hAnsi="宋体" w:hint="eastAsia"/>
          <w:sz w:val="32"/>
          <w:szCs w:val="32"/>
        </w:rPr>
        <w:t>其中</w:t>
      </w:r>
      <w:r w:rsidRPr="002F43D9">
        <w:rPr>
          <w:rFonts w:ascii="仿宋_GB2312" w:eastAsia="仿宋_GB2312" w:hAnsi="Calibri" w:hint="eastAsia"/>
          <w:sz w:val="32"/>
          <w:szCs w:val="32"/>
        </w:rPr>
        <w:t>发生的费用未超过决算指标的，不予增加决算额。</w:t>
      </w:r>
      <w:r>
        <w:rPr>
          <w:rFonts w:ascii="仿宋_GB2312" w:eastAsia="仿宋_GB2312" w:hAnsi="宋体" w:hint="eastAsia"/>
          <w:sz w:val="32"/>
          <w:szCs w:val="32"/>
        </w:rPr>
        <w:t>对已</w:t>
      </w:r>
      <w:r w:rsidRPr="0081709D">
        <w:rPr>
          <w:rFonts w:ascii="仿宋_GB2312" w:eastAsia="仿宋_GB2312" w:hAnsi="宋体" w:hint="eastAsia"/>
          <w:sz w:val="32"/>
          <w:szCs w:val="32"/>
        </w:rPr>
        <w:t>解除医保服务协议，并按规</w:t>
      </w:r>
      <w:r>
        <w:rPr>
          <w:rFonts w:ascii="仿宋_GB2312" w:eastAsia="仿宋_GB2312" w:hAnsi="宋体" w:hint="eastAsia"/>
          <w:sz w:val="32"/>
          <w:szCs w:val="32"/>
        </w:rPr>
        <w:t>定进行</w:t>
      </w:r>
      <w:r w:rsidRPr="0081709D">
        <w:rPr>
          <w:rFonts w:ascii="仿宋_GB2312" w:eastAsia="仿宋_GB2312" w:hAnsi="宋体" w:hint="eastAsia"/>
          <w:sz w:val="32"/>
          <w:szCs w:val="32"/>
        </w:rPr>
        <w:t>费用清算</w:t>
      </w:r>
      <w:r>
        <w:rPr>
          <w:rFonts w:ascii="仿宋_GB2312" w:eastAsia="仿宋_GB2312" w:hAnsi="宋体" w:hint="eastAsia"/>
          <w:sz w:val="32"/>
          <w:szCs w:val="32"/>
        </w:rPr>
        <w:t>的</w:t>
      </w:r>
      <w:r w:rsidRPr="0081709D">
        <w:rPr>
          <w:rFonts w:ascii="仿宋_GB2312" w:eastAsia="仿宋_GB2312" w:hAnsi="宋体" w:hint="eastAsia"/>
          <w:sz w:val="32"/>
          <w:szCs w:val="32"/>
        </w:rPr>
        <w:t>医药机构，</w:t>
      </w:r>
      <w:r>
        <w:rPr>
          <w:rFonts w:ascii="仿宋_GB2312" w:eastAsia="仿宋_GB2312" w:hAnsi="宋体" w:hint="eastAsia"/>
          <w:sz w:val="32"/>
          <w:szCs w:val="32"/>
        </w:rPr>
        <w:t>当年度</w:t>
      </w:r>
      <w:r w:rsidRPr="0081709D">
        <w:rPr>
          <w:rFonts w:ascii="仿宋_GB2312" w:eastAsia="仿宋_GB2312" w:hAnsi="宋体" w:hint="eastAsia"/>
          <w:sz w:val="32"/>
          <w:szCs w:val="32"/>
        </w:rPr>
        <w:t>不再</w:t>
      </w:r>
      <w:r>
        <w:rPr>
          <w:rFonts w:ascii="仿宋_GB2312" w:eastAsia="仿宋_GB2312" w:hAnsi="宋体" w:hint="eastAsia"/>
          <w:sz w:val="32"/>
          <w:szCs w:val="32"/>
        </w:rPr>
        <w:t>对其</w:t>
      </w:r>
      <w:r w:rsidRPr="0081709D">
        <w:rPr>
          <w:rFonts w:ascii="仿宋_GB2312" w:eastAsia="仿宋_GB2312" w:hAnsi="宋体" w:hint="eastAsia"/>
          <w:sz w:val="32"/>
          <w:szCs w:val="32"/>
        </w:rPr>
        <w:t>总额预算</w:t>
      </w:r>
      <w:r>
        <w:rPr>
          <w:rFonts w:ascii="仿宋_GB2312" w:eastAsia="仿宋_GB2312" w:hAnsi="宋体" w:hint="eastAsia"/>
          <w:sz w:val="32"/>
          <w:szCs w:val="32"/>
        </w:rPr>
        <w:t>管理</w:t>
      </w:r>
      <w:r w:rsidRPr="0081709D">
        <w:rPr>
          <w:rFonts w:ascii="仿宋_GB2312" w:eastAsia="仿宋_GB2312" w:hAnsi="宋体" w:hint="eastAsia"/>
          <w:sz w:val="32"/>
          <w:szCs w:val="32"/>
        </w:rPr>
        <w:t>考核</w:t>
      </w:r>
      <w:r>
        <w:rPr>
          <w:rFonts w:ascii="仿宋_GB2312" w:eastAsia="仿宋_GB2312" w:hAnsi="宋体" w:hint="eastAsia"/>
          <w:sz w:val="32"/>
          <w:szCs w:val="32"/>
        </w:rPr>
        <w:t>。</w:t>
      </w:r>
    </w:p>
    <w:p w:rsidR="00794D0E" w:rsidRDefault="008F7F95">
      <w:pPr>
        <w:spacing w:line="336" w:lineRule="auto"/>
        <w:ind w:firstLineChars="200" w:firstLine="640"/>
        <w:rPr>
          <w:rFonts w:ascii="楷体" w:eastAsia="楷体" w:hAnsi="楷体"/>
          <w:sz w:val="32"/>
          <w:szCs w:val="32"/>
        </w:rPr>
      </w:pPr>
      <w:r>
        <w:rPr>
          <w:rFonts w:ascii="仿宋_GB2312" w:eastAsia="仿宋_GB2312" w:hint="eastAsia"/>
          <w:color w:val="000000" w:themeColor="text1"/>
          <w:sz w:val="32"/>
          <w:szCs w:val="32"/>
        </w:rPr>
        <w:t>2．</w:t>
      </w:r>
      <w:r>
        <w:rPr>
          <w:rFonts w:ascii="仿宋_GB2312" w:eastAsia="仿宋_GB2312" w:hint="eastAsia"/>
          <w:sz w:val="32"/>
          <w:szCs w:val="32"/>
        </w:rPr>
        <w:t>重点推行</w:t>
      </w:r>
      <w:r>
        <w:rPr>
          <w:rFonts w:ascii="仿宋_GB2312" w:eastAsia="仿宋_GB2312" w:hAnsi="仿宋" w:hint="eastAsia"/>
          <w:color w:val="000000"/>
          <w:kern w:val="0"/>
          <w:sz w:val="32"/>
          <w:szCs w:val="32"/>
        </w:rPr>
        <w:t>DRGs</w:t>
      </w:r>
      <w:r>
        <w:rPr>
          <w:rFonts w:ascii="仿宋_GB2312" w:eastAsia="仿宋_GB2312" w:hint="eastAsia"/>
          <w:sz w:val="32"/>
          <w:szCs w:val="32"/>
        </w:rPr>
        <w:t>点数法付费</w:t>
      </w:r>
    </w:p>
    <w:p w:rsidR="00794D0E" w:rsidRDefault="008F7F95">
      <w:pPr>
        <w:spacing w:line="336" w:lineRule="auto"/>
        <w:ind w:firstLineChars="200" w:firstLine="640"/>
        <w:rPr>
          <w:rFonts w:ascii="仿宋_GB2312" w:eastAsia="仿宋_GB2312"/>
          <w:sz w:val="32"/>
          <w:szCs w:val="32"/>
        </w:rPr>
      </w:pPr>
      <w:r>
        <w:rPr>
          <w:rFonts w:ascii="仿宋_GB2312" w:eastAsia="仿宋_GB2312" w:hint="eastAsia"/>
          <w:sz w:val="32"/>
          <w:szCs w:val="32"/>
        </w:rPr>
        <w:t>根据省</w:t>
      </w:r>
      <w:r w:rsidR="002F1BE8">
        <w:rPr>
          <w:rFonts w:ascii="仿宋_GB2312" w:eastAsia="仿宋_GB2312" w:hint="eastAsia"/>
          <w:sz w:val="32"/>
          <w:szCs w:val="32"/>
        </w:rPr>
        <w:t>里</w:t>
      </w:r>
      <w:r>
        <w:rPr>
          <w:rFonts w:ascii="仿宋_GB2312" w:eastAsia="仿宋_GB2312" w:hint="eastAsia"/>
          <w:sz w:val="32"/>
          <w:szCs w:val="32"/>
        </w:rPr>
        <w:t>统一部署，全市统一协调推进</w:t>
      </w:r>
      <w:r>
        <w:rPr>
          <w:rFonts w:ascii="仿宋_GB2312" w:eastAsia="仿宋_GB2312" w:hAnsi="仿宋" w:hint="eastAsia"/>
          <w:color w:val="000000"/>
          <w:kern w:val="0"/>
          <w:sz w:val="32"/>
          <w:szCs w:val="32"/>
        </w:rPr>
        <w:t>DRGs</w:t>
      </w:r>
      <w:r>
        <w:rPr>
          <w:rFonts w:ascii="仿宋_GB2312" w:eastAsia="仿宋_GB2312" w:hint="eastAsia"/>
          <w:sz w:val="32"/>
          <w:szCs w:val="32"/>
        </w:rPr>
        <w:t>点数法付费</w:t>
      </w:r>
      <w:r w:rsidR="00B677E7">
        <w:rPr>
          <w:rFonts w:ascii="仿宋_GB2312" w:eastAsia="仿宋_GB2312" w:hint="eastAsia"/>
          <w:sz w:val="32"/>
          <w:szCs w:val="32"/>
        </w:rPr>
        <w:t>。</w:t>
      </w:r>
      <w:r>
        <w:rPr>
          <w:rFonts w:ascii="仿宋_GB2312" w:eastAsia="仿宋_GB2312" w:hint="eastAsia"/>
          <w:sz w:val="32"/>
          <w:szCs w:val="32"/>
        </w:rPr>
        <w:t>市里统一建设DRGs点数法付费相关项目，</w:t>
      </w:r>
      <w:r w:rsidR="00683DFD">
        <w:rPr>
          <w:rFonts w:ascii="仿宋_GB2312" w:eastAsia="仿宋_GB2312" w:hint="eastAsia"/>
          <w:sz w:val="32"/>
          <w:szCs w:val="32"/>
        </w:rPr>
        <w:t>项目</w:t>
      </w:r>
      <w:r w:rsidR="00B94649">
        <w:rPr>
          <w:rFonts w:ascii="仿宋_GB2312" w:eastAsia="仿宋_GB2312" w:hint="eastAsia"/>
          <w:sz w:val="32"/>
          <w:szCs w:val="32"/>
        </w:rPr>
        <w:t>及</w:t>
      </w:r>
      <w:r w:rsidR="00683DFD">
        <w:rPr>
          <w:rFonts w:ascii="仿宋_GB2312" w:eastAsia="仿宋_GB2312" w:hint="eastAsia"/>
          <w:sz w:val="32"/>
          <w:szCs w:val="32"/>
        </w:rPr>
        <w:t>所需</w:t>
      </w:r>
      <w:r w:rsidR="00B94649">
        <w:rPr>
          <w:rFonts w:ascii="仿宋_GB2312" w:eastAsia="仿宋_GB2312" w:hint="eastAsia"/>
          <w:sz w:val="32"/>
          <w:szCs w:val="32"/>
        </w:rPr>
        <w:t>相关工作</w:t>
      </w:r>
      <w:r w:rsidR="00683DFD">
        <w:rPr>
          <w:rFonts w:ascii="仿宋_GB2312" w:eastAsia="仿宋_GB2312" w:hint="eastAsia"/>
          <w:sz w:val="32"/>
          <w:szCs w:val="32"/>
        </w:rPr>
        <w:t>经费由同级财政承担</w:t>
      </w:r>
      <w:r>
        <w:rPr>
          <w:rFonts w:ascii="仿宋_GB2312" w:eastAsia="仿宋_GB2312" w:hint="eastAsia"/>
          <w:sz w:val="32"/>
          <w:szCs w:val="32"/>
        </w:rPr>
        <w:t>。2019年</w:t>
      </w:r>
      <w:r>
        <w:rPr>
          <w:rFonts w:ascii="仿宋_GB2312" w:eastAsia="仿宋_GB2312" w:hint="eastAsia"/>
          <w:color w:val="000000" w:themeColor="text1"/>
          <w:sz w:val="32"/>
          <w:szCs w:val="32"/>
        </w:rPr>
        <w:t>12月31日前完成试点定点医疗机构（以下简称医疗机构）疾病分组目录及病组点数测算，在模拟运行评估后再按DRGs点数法付费。</w:t>
      </w:r>
    </w:p>
    <w:p w:rsidR="00794D0E" w:rsidRDefault="008F7F95">
      <w:pPr>
        <w:spacing w:line="336" w:lineRule="auto"/>
        <w:ind w:firstLineChars="200" w:firstLine="640"/>
        <w:rPr>
          <w:rFonts w:ascii="仿宋_GB2312" w:eastAsia="仿宋_GB2312"/>
          <w:color w:val="000000" w:themeColor="text1"/>
          <w:sz w:val="32"/>
          <w:szCs w:val="32"/>
        </w:rPr>
      </w:pPr>
      <w:r>
        <w:rPr>
          <w:rFonts w:ascii="仿宋_GB2312" w:eastAsia="仿宋_GB2312" w:hint="eastAsia"/>
          <w:sz w:val="32"/>
          <w:szCs w:val="32"/>
        </w:rPr>
        <w:lastRenderedPageBreak/>
        <w:t>（1）</w:t>
      </w:r>
      <w:r w:rsidR="000F199A">
        <w:rPr>
          <w:rFonts w:ascii="仿宋_GB2312" w:eastAsia="仿宋_GB2312" w:hint="eastAsia"/>
          <w:sz w:val="32"/>
          <w:szCs w:val="32"/>
        </w:rPr>
        <w:t>执行</w:t>
      </w:r>
      <w:r>
        <w:rPr>
          <w:rFonts w:ascii="仿宋_GB2312" w:eastAsia="仿宋_GB2312" w:hint="eastAsia"/>
          <w:color w:val="000000" w:themeColor="text1"/>
          <w:sz w:val="32"/>
          <w:szCs w:val="32"/>
        </w:rPr>
        <w:t>省级制定</w:t>
      </w:r>
      <w:r w:rsidR="000F199A">
        <w:rPr>
          <w:rFonts w:ascii="仿宋_GB2312" w:eastAsia="仿宋_GB2312" w:hint="eastAsia"/>
          <w:color w:val="000000" w:themeColor="text1"/>
          <w:sz w:val="32"/>
          <w:szCs w:val="32"/>
        </w:rPr>
        <w:t>的</w:t>
      </w:r>
      <w:r>
        <w:rPr>
          <w:rFonts w:ascii="仿宋_GB2312" w:eastAsia="仿宋_GB2312" w:hint="eastAsia"/>
          <w:color w:val="000000" w:themeColor="text1"/>
          <w:sz w:val="32"/>
          <w:szCs w:val="32"/>
        </w:rPr>
        <w:t>DRGs标准。统一执行国家颁布的疾病分类、手术操作、诊疗项目、药品分类、医用耗材编码、病案首页等标准，以开放性、参与性、本地化为遵循。DRGs点数付费办法</w:t>
      </w:r>
      <w:r w:rsidR="000F199A">
        <w:rPr>
          <w:rFonts w:ascii="仿宋_GB2312" w:eastAsia="仿宋_GB2312" w:hint="eastAsia"/>
          <w:color w:val="000000" w:themeColor="text1"/>
          <w:sz w:val="32"/>
          <w:szCs w:val="32"/>
        </w:rPr>
        <w:t>执行</w:t>
      </w:r>
      <w:r>
        <w:rPr>
          <w:rFonts w:ascii="仿宋_GB2312" w:eastAsia="仿宋_GB2312" w:hint="eastAsia"/>
          <w:color w:val="000000" w:themeColor="text1"/>
          <w:sz w:val="32"/>
          <w:szCs w:val="32"/>
        </w:rPr>
        <w:t>省医疗保障局会同相关部门制定</w:t>
      </w:r>
      <w:r w:rsidR="000F199A">
        <w:rPr>
          <w:rFonts w:ascii="仿宋_GB2312" w:eastAsia="仿宋_GB2312" w:hint="eastAsia"/>
          <w:color w:val="000000" w:themeColor="text1"/>
          <w:sz w:val="32"/>
          <w:szCs w:val="32"/>
        </w:rPr>
        <w:t>的标准</w:t>
      </w:r>
      <w:r>
        <w:rPr>
          <w:rFonts w:ascii="仿宋_GB2312" w:eastAsia="仿宋_GB2312" w:hint="eastAsia"/>
          <w:color w:val="000000" w:themeColor="text1"/>
          <w:sz w:val="32"/>
          <w:szCs w:val="32"/>
        </w:rPr>
        <w:t>。</w:t>
      </w:r>
    </w:p>
    <w:p w:rsidR="00794D0E" w:rsidRDefault="008F7F95">
      <w:pPr>
        <w:spacing w:line="336"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（2）地市计算DRGs点数。以治疗产生的全部费用为依据，计算所辖区域内入组疾病的基准点数、各病组点数。</w:t>
      </w:r>
    </w:p>
    <w:p w:rsidR="00794D0E" w:rsidRDefault="008F7F95">
      <w:pPr>
        <w:spacing w:line="336"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（3）统筹区确定DRGs点值。各统筹区根据区域实际结算医疗服务总点数和医保基金支出预算指标等因素，确定每点的实际价值，并以各医疗机构的服务总点值为支付依据，清算年度医保基金。</w:t>
      </w:r>
    </w:p>
    <w:p w:rsidR="00794D0E" w:rsidRDefault="008F7F95">
      <w:pPr>
        <w:spacing w:line="336" w:lineRule="auto"/>
        <w:ind w:firstLineChars="200" w:firstLine="640"/>
        <w:rPr>
          <w:rFonts w:ascii="仿宋_GB2312" w:eastAsia="仿宋_GB2312"/>
          <w:sz w:val="32"/>
          <w:szCs w:val="32"/>
        </w:rPr>
      </w:pPr>
      <w:r>
        <w:rPr>
          <w:rFonts w:ascii="仿宋_GB2312" w:eastAsia="仿宋_GB2312" w:hint="eastAsia"/>
          <w:sz w:val="32"/>
          <w:szCs w:val="32"/>
        </w:rPr>
        <w:t>（4）医疗机构要高度重视医疗基础信息的管理，规范病案管理，提高病案质量，重视病案首页的书写。严格按照规定填写住院病案首页，</w:t>
      </w:r>
      <w:r w:rsidR="00A140CA">
        <w:rPr>
          <w:rFonts w:ascii="仿宋_GB2312" w:eastAsia="仿宋_GB2312" w:hint="eastAsia"/>
          <w:sz w:val="32"/>
          <w:szCs w:val="32"/>
        </w:rPr>
        <w:t>保证病案首页上传准确。</w:t>
      </w:r>
    </w:p>
    <w:p w:rsidR="00794D0E" w:rsidRDefault="008F7F95">
      <w:pPr>
        <w:spacing w:line="336" w:lineRule="auto"/>
        <w:ind w:firstLineChars="200" w:firstLine="640"/>
        <w:rPr>
          <w:rFonts w:ascii="仿宋_GB2312" w:eastAsia="仿宋_GB2312"/>
          <w:sz w:val="32"/>
          <w:szCs w:val="32"/>
        </w:rPr>
      </w:pPr>
      <w:r>
        <w:rPr>
          <w:rFonts w:ascii="仿宋_GB2312" w:eastAsia="仿宋_GB2312" w:hint="eastAsia"/>
          <w:sz w:val="32"/>
          <w:szCs w:val="32"/>
        </w:rPr>
        <w:t>（5）医疗机构要严格规范医疗服务行为，保证医疗安全和质量。不得违规分解住院、故意修改诊断结论、升级诊断和操作编码、提供医疗服务不足、推诿重患、将费用分解至门诊或者让参保人员自费。</w:t>
      </w:r>
    </w:p>
    <w:p w:rsidR="00794D0E" w:rsidRDefault="008F7F95">
      <w:pPr>
        <w:spacing w:line="336" w:lineRule="auto"/>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color w:val="000000" w:themeColor="text1"/>
          <w:sz w:val="32"/>
          <w:szCs w:val="32"/>
        </w:rPr>
        <w:t>．</w:t>
      </w:r>
      <w:r>
        <w:rPr>
          <w:rFonts w:ascii="仿宋_GB2312" w:eastAsia="仿宋_GB2312" w:hint="eastAsia"/>
          <w:sz w:val="32"/>
          <w:szCs w:val="32"/>
        </w:rPr>
        <w:t>稳步推进按人头付费。</w:t>
      </w:r>
      <w:r>
        <w:rPr>
          <w:rFonts w:eastAsia="仿宋_GB2312"/>
          <w:sz w:val="32"/>
          <w:szCs w:val="32"/>
        </w:rPr>
        <w:t>优先将已签约参保人员的门诊医疗费用，按人头包干给其所属医共体；</w:t>
      </w:r>
      <w:r>
        <w:rPr>
          <w:rFonts w:eastAsia="仿宋_GB2312" w:hint="eastAsia"/>
          <w:sz w:val="32"/>
          <w:szCs w:val="32"/>
        </w:rPr>
        <w:t>逐步实现</w:t>
      </w:r>
      <w:r>
        <w:rPr>
          <w:rFonts w:eastAsia="仿宋_GB2312"/>
          <w:sz w:val="32"/>
          <w:szCs w:val="32"/>
        </w:rPr>
        <w:t>对未签约的参保人员，可按区域进行包干，其中城乡居民</w:t>
      </w:r>
      <w:r>
        <w:rPr>
          <w:rFonts w:eastAsia="仿宋_GB2312" w:hint="eastAsia"/>
          <w:sz w:val="32"/>
          <w:szCs w:val="32"/>
        </w:rPr>
        <w:t>（不含大学生）</w:t>
      </w:r>
      <w:r>
        <w:rPr>
          <w:rFonts w:eastAsia="仿宋_GB2312"/>
          <w:sz w:val="32"/>
          <w:szCs w:val="32"/>
        </w:rPr>
        <w:t>和灵活就业人员可按参保人员户籍所在地</w:t>
      </w:r>
      <w:r>
        <w:rPr>
          <w:rFonts w:eastAsia="仿宋_GB2312" w:hint="eastAsia"/>
          <w:sz w:val="32"/>
          <w:szCs w:val="32"/>
        </w:rPr>
        <w:t>或常住地</w:t>
      </w:r>
      <w:r>
        <w:rPr>
          <w:rFonts w:eastAsia="仿宋_GB2312"/>
          <w:sz w:val="32"/>
          <w:szCs w:val="32"/>
        </w:rPr>
        <w:t>进行划分，</w:t>
      </w:r>
      <w:r>
        <w:rPr>
          <w:rFonts w:eastAsia="仿宋_GB2312" w:hint="eastAsia"/>
          <w:sz w:val="32"/>
          <w:szCs w:val="32"/>
        </w:rPr>
        <w:t>大学生按高校所在地进行划分，</w:t>
      </w:r>
      <w:r>
        <w:rPr>
          <w:rFonts w:eastAsia="仿宋_GB2312"/>
          <w:sz w:val="32"/>
          <w:szCs w:val="32"/>
        </w:rPr>
        <w:t>单位职工可按单位</w:t>
      </w:r>
      <w:r>
        <w:rPr>
          <w:rFonts w:eastAsia="仿宋_GB2312"/>
          <w:sz w:val="32"/>
          <w:szCs w:val="32"/>
        </w:rPr>
        <w:lastRenderedPageBreak/>
        <w:t>所在地进行划分。参保人员在所属医共体外就医发生的门诊费用，</w:t>
      </w:r>
      <w:r>
        <w:rPr>
          <w:rFonts w:eastAsia="仿宋_GB2312" w:hint="eastAsia"/>
          <w:sz w:val="32"/>
          <w:szCs w:val="32"/>
        </w:rPr>
        <w:t>除去综合考虑人口迁移、疾病等特殊因素的费用后，</w:t>
      </w:r>
      <w:r>
        <w:rPr>
          <w:rFonts w:eastAsia="仿宋_GB2312"/>
          <w:sz w:val="32"/>
          <w:szCs w:val="32"/>
        </w:rPr>
        <w:t>统计在其所属医共体的预算内。</w:t>
      </w:r>
      <w:r>
        <w:rPr>
          <w:rFonts w:ascii="仿宋_GB2312" w:eastAsia="仿宋_GB2312" w:hint="eastAsia"/>
          <w:sz w:val="32"/>
          <w:szCs w:val="32"/>
        </w:rPr>
        <w:t>激励基层医疗卫生机构提供优质医疗服务，做好健康管理，将按人头付费方式与慢性病管理相结合。科学合理界定按人头付费方式的基本医疗服务范围和支付标准。</w:t>
      </w:r>
    </w:p>
    <w:p w:rsidR="00794D0E" w:rsidRDefault="008F7F95">
      <w:pPr>
        <w:spacing w:line="336" w:lineRule="auto"/>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color w:val="000000" w:themeColor="text1"/>
          <w:sz w:val="32"/>
          <w:szCs w:val="32"/>
        </w:rPr>
        <w:t>．</w:t>
      </w:r>
      <w:r>
        <w:rPr>
          <w:rFonts w:ascii="仿宋_GB2312" w:eastAsia="仿宋_GB2312" w:hint="eastAsia"/>
          <w:sz w:val="32"/>
          <w:szCs w:val="32"/>
        </w:rPr>
        <w:t>加快推进按床日付费。</w:t>
      </w:r>
      <w:r>
        <w:rPr>
          <w:rFonts w:eastAsia="仿宋_GB2312"/>
          <w:color w:val="000000" w:themeColor="text1"/>
          <w:spacing w:val="4"/>
          <w:sz w:val="32"/>
          <w:szCs w:val="32"/>
        </w:rPr>
        <w:t>开展长期、慢性病等住院医疗服务按床日付费试点。选取若干医疗机构作为试点，对精神病、安宁</w:t>
      </w:r>
      <w:r>
        <w:rPr>
          <w:rFonts w:ascii="仿宋_GB2312" w:eastAsia="仿宋_GB2312" w:hint="eastAsia"/>
          <w:color w:val="000000" w:themeColor="text1"/>
          <w:spacing w:val="4"/>
          <w:sz w:val="32"/>
          <w:szCs w:val="32"/>
        </w:rPr>
        <w:t>疗护、医疗康复等需要长期住院治疗的疾病，考核评估平均住院天数、日均费用及疗效，实行按床日付费。</w:t>
      </w:r>
      <w:r>
        <w:rPr>
          <w:rFonts w:ascii="仿宋_GB2312" w:eastAsia="仿宋_GB2312" w:hint="eastAsia"/>
          <w:sz w:val="32"/>
          <w:szCs w:val="32"/>
        </w:rPr>
        <w:t>落实按床日付费考核试点，各地要积极跟进。按床日付费标准可根据各地实际情况确定。</w:t>
      </w:r>
    </w:p>
    <w:p w:rsidR="00794D0E" w:rsidRDefault="008F7F95">
      <w:pPr>
        <w:spacing w:line="336" w:lineRule="auto"/>
        <w:ind w:firstLineChars="200" w:firstLine="640"/>
        <w:rPr>
          <w:rFonts w:ascii="黑体" w:eastAsia="黑体" w:hAnsi="黑体"/>
          <w:sz w:val="32"/>
          <w:szCs w:val="32"/>
        </w:rPr>
      </w:pPr>
      <w:r>
        <w:rPr>
          <w:rFonts w:ascii="黑体" w:eastAsia="黑体" w:hAnsi="黑体" w:hint="eastAsia"/>
          <w:sz w:val="32"/>
          <w:szCs w:val="32"/>
        </w:rPr>
        <w:t>（三）协同推进配套措施</w:t>
      </w:r>
    </w:p>
    <w:p w:rsidR="00794D0E" w:rsidRDefault="008F7F95">
      <w:pPr>
        <w:spacing w:line="336" w:lineRule="auto"/>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color w:val="000000" w:themeColor="text1"/>
          <w:sz w:val="32"/>
          <w:szCs w:val="32"/>
        </w:rPr>
        <w:t>．</w:t>
      </w:r>
      <w:r>
        <w:rPr>
          <w:rFonts w:ascii="仿宋_GB2312" w:eastAsia="仿宋_GB2312" w:hint="eastAsia"/>
          <w:sz w:val="32"/>
          <w:szCs w:val="32"/>
        </w:rPr>
        <w:t>稳步推进分级诊疗制度。将家庭医生签约服务与分级诊疗制度建设相结合，引导参保人员到基层首诊，实现双向转诊，充分发挥家庭医生在医保控费方面的“守门人”作用。</w:t>
      </w:r>
      <w:r>
        <w:rPr>
          <w:rFonts w:eastAsia="仿宋_GB2312" w:hint="eastAsia"/>
          <w:sz w:val="32"/>
          <w:szCs w:val="32"/>
        </w:rPr>
        <w:t>合理拉开不同等级医疗机构（含医共体内成员单位）报销比例。参保人员未按县域医共体县乡两级疾病诊疗目录和双向转诊管理办法等有关规定办理转诊手续，自行到统筹区域外医疗机构就诊的，应提高个人自付比例，原则上不低于</w:t>
      </w:r>
      <w:r>
        <w:rPr>
          <w:rFonts w:eastAsia="仿宋_GB2312"/>
          <w:sz w:val="32"/>
          <w:szCs w:val="32"/>
        </w:rPr>
        <w:t>10%</w:t>
      </w:r>
      <w:r>
        <w:rPr>
          <w:rFonts w:eastAsia="仿宋_GB2312" w:hint="eastAsia"/>
          <w:sz w:val="32"/>
          <w:szCs w:val="32"/>
        </w:rPr>
        <w:t>。对在医共体内实现基层首诊、双向转诊的住院参保人员，视为一次住院，不再重复计算</w:t>
      </w:r>
      <w:r>
        <w:rPr>
          <w:rFonts w:eastAsia="仿宋_GB2312"/>
          <w:sz w:val="32"/>
          <w:szCs w:val="32"/>
        </w:rPr>
        <w:t>起付线</w:t>
      </w:r>
      <w:r>
        <w:rPr>
          <w:rFonts w:eastAsia="仿宋_GB2312" w:hint="eastAsia"/>
          <w:sz w:val="32"/>
          <w:szCs w:val="32"/>
        </w:rPr>
        <w:t>，</w:t>
      </w:r>
      <w:r>
        <w:rPr>
          <w:rFonts w:eastAsia="仿宋_GB2312"/>
          <w:sz w:val="32"/>
          <w:szCs w:val="32"/>
        </w:rPr>
        <w:t>起付线</w:t>
      </w:r>
      <w:r>
        <w:rPr>
          <w:rFonts w:eastAsia="仿宋_GB2312" w:hint="eastAsia"/>
          <w:sz w:val="32"/>
          <w:szCs w:val="32"/>
        </w:rPr>
        <w:t>按较高等</w:t>
      </w:r>
      <w:r>
        <w:rPr>
          <w:rFonts w:eastAsia="仿宋_GB2312" w:hint="eastAsia"/>
          <w:sz w:val="32"/>
          <w:szCs w:val="32"/>
        </w:rPr>
        <w:lastRenderedPageBreak/>
        <w:t>级医疗机构标准确定。</w:t>
      </w:r>
    </w:p>
    <w:p w:rsidR="00794D0E" w:rsidRDefault="008F7F95">
      <w:pPr>
        <w:spacing w:line="336" w:lineRule="auto"/>
        <w:ind w:firstLineChars="200" w:firstLine="640"/>
        <w:rPr>
          <w:rFonts w:ascii="仿宋_GB2312" w:eastAsia="仿宋_GB2312"/>
          <w:color w:val="000000" w:themeColor="text1"/>
          <w:sz w:val="32"/>
          <w:szCs w:val="32"/>
        </w:rPr>
      </w:pPr>
      <w:r>
        <w:rPr>
          <w:rFonts w:ascii="仿宋_GB2312" w:eastAsia="仿宋_GB2312" w:hint="eastAsia"/>
          <w:sz w:val="32"/>
          <w:szCs w:val="32"/>
        </w:rPr>
        <w:t>2</w:t>
      </w:r>
      <w:r>
        <w:rPr>
          <w:rFonts w:ascii="仿宋_GB2312" w:eastAsia="仿宋_GB2312" w:hint="eastAsia"/>
          <w:color w:val="000000" w:themeColor="text1"/>
          <w:sz w:val="32"/>
          <w:szCs w:val="32"/>
        </w:rPr>
        <w:t>．推进医疗服务价格改革。按照“总量控制、结构调整、有升有降、逐步到位”的原则，合理确定医药费用总量。通过集中采购、规范诊疗等行为，降低药品、器械、耗材等费用，严格控制不合理检查、检验费用。在腾出调价空间的基础上，积极推进医疗服务价格动态调整，进一步优化医院收支结构，逐步提高医疗技术服务收入占比，不断理顺医疗服务比价关系。要进一步完善医共体医疗服务价格改革考核办法，使改革取得实效。</w:t>
      </w:r>
    </w:p>
    <w:p w:rsidR="00794D0E" w:rsidRDefault="008F7F95">
      <w:pPr>
        <w:spacing w:line="336" w:lineRule="auto"/>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color w:val="000000" w:themeColor="text1"/>
          <w:sz w:val="32"/>
          <w:szCs w:val="32"/>
        </w:rPr>
        <w:t>．</w:t>
      </w:r>
      <w:r>
        <w:rPr>
          <w:rFonts w:ascii="仿宋_GB2312" w:eastAsia="仿宋_GB2312" w:hint="eastAsia"/>
          <w:sz w:val="32"/>
          <w:szCs w:val="32"/>
        </w:rPr>
        <w:t>探索医药机构评价体系。依托信息化技术，探索建立医药机构医疗服务质量评价体系，包含医药机构费用控制、基础运行绩效、医疗服务质量管理和就诊人员满意度调查等内容，加强对医药机构服务质量的评价管理。完善医药机构考核办法，合理确定考核项目和评分标准，客观、公正、真实反映医药机构的医疗保障服务工作。</w:t>
      </w:r>
    </w:p>
    <w:p w:rsidR="00794D0E" w:rsidRDefault="008F7F95">
      <w:pPr>
        <w:spacing w:line="336" w:lineRule="auto"/>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color w:val="000000" w:themeColor="text1"/>
          <w:sz w:val="32"/>
          <w:szCs w:val="32"/>
        </w:rPr>
        <w:t>．</w:t>
      </w:r>
      <w:r>
        <w:rPr>
          <w:rFonts w:ascii="仿宋_GB2312" w:eastAsia="仿宋_GB2312" w:hint="eastAsia"/>
          <w:sz w:val="32"/>
          <w:szCs w:val="32"/>
        </w:rPr>
        <w:t>健全医药机构管理机制。完善医保服务协议管理，将监管重点从单一的医疗费用控制转向医疗费用和医疗质量双控制。进一步加强对医疗服务行为事前、事中、事后的监管，完善监督、管理、服务相结合的监管机制。不断加强和完善医保信息系统建设，充分利用大数据统计分析功能，及时发现和查处违规行为。</w:t>
      </w:r>
      <w:r>
        <w:rPr>
          <w:rFonts w:eastAsia="仿宋_GB2312"/>
          <w:color w:val="000000" w:themeColor="text1"/>
          <w:sz w:val="32"/>
          <w:szCs w:val="32"/>
        </w:rPr>
        <w:t>完善医保医师年度积分管理制度，建立医保医师诚信档案库，逐步将医保医师违规行为纳入公</w:t>
      </w:r>
      <w:r>
        <w:rPr>
          <w:rFonts w:eastAsia="仿宋_GB2312"/>
          <w:color w:val="000000" w:themeColor="text1"/>
          <w:sz w:val="32"/>
          <w:szCs w:val="32"/>
        </w:rPr>
        <w:lastRenderedPageBreak/>
        <w:t>共信用信息平台管理。</w:t>
      </w:r>
      <w:r>
        <w:rPr>
          <w:rFonts w:ascii="仿宋_GB2312" w:eastAsia="仿宋_GB2312" w:hint="eastAsia"/>
          <w:sz w:val="32"/>
          <w:szCs w:val="32"/>
        </w:rPr>
        <w:t>建立医药机构费用指标定期排序管理机制，督促医药机构加强内部管理，逐步营造规范服务、公平竞争的良好氛围。建立违规行为定期公示制度，定期公布医药机构各类违规情况等信息，接受社会监督。</w:t>
      </w:r>
    </w:p>
    <w:p w:rsidR="00794D0E" w:rsidRDefault="008F7F95">
      <w:pPr>
        <w:spacing w:line="336" w:lineRule="auto"/>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color w:val="000000" w:themeColor="text1"/>
          <w:sz w:val="32"/>
          <w:szCs w:val="32"/>
        </w:rPr>
        <w:t>．</w:t>
      </w:r>
      <w:r>
        <w:rPr>
          <w:rFonts w:ascii="仿宋_GB2312" w:eastAsia="仿宋_GB2312" w:hint="eastAsia"/>
          <w:sz w:val="32"/>
          <w:szCs w:val="32"/>
        </w:rPr>
        <w:t>加强对异地就医医保基金支出管理。要加强对联网结算数据的审核，对有问题的数据及时发现、及时沟通、及时处理。将异常数据较多的异地医药机构设置在警示名单中，加强日常审核力度。</w:t>
      </w:r>
    </w:p>
    <w:p w:rsidR="00794D0E" w:rsidRDefault="008F7F95">
      <w:pPr>
        <w:spacing w:line="336" w:lineRule="auto"/>
        <w:ind w:firstLineChars="200" w:firstLine="640"/>
        <w:rPr>
          <w:rFonts w:ascii="仿宋_GB2312" w:eastAsia="仿宋_GB2312"/>
          <w:color w:val="000000" w:themeColor="text1"/>
          <w:sz w:val="32"/>
          <w:szCs w:val="32"/>
        </w:rPr>
      </w:pPr>
      <w:r>
        <w:rPr>
          <w:rFonts w:ascii="仿宋_GB2312" w:eastAsia="仿宋_GB2312" w:hint="eastAsia"/>
          <w:sz w:val="32"/>
          <w:szCs w:val="32"/>
        </w:rPr>
        <w:t>6</w:t>
      </w:r>
      <w:r>
        <w:rPr>
          <w:rFonts w:ascii="仿宋_GB2312" w:eastAsia="仿宋_GB2312" w:hint="eastAsia"/>
          <w:color w:val="000000" w:themeColor="text1"/>
          <w:sz w:val="32"/>
          <w:szCs w:val="32"/>
        </w:rPr>
        <w:t>．提升医保服务管理能力。深化医保领域“最多跑一次”改革，将部分医保窗口功能前移至县域医共体，提升经办服务便民化水平。加强医保经办管理水平，按照“事前预算告知、每月数据分析、年中重点约谈、全程跟踪监管”的程序，对费用指标和医疗服务质量进行考核评价。重点发挥县域医共体医保、质控、病案及信息化人才的作用，通过互学、互评、互审等方式，提高县域医共体的医保队伍能力水平。</w:t>
      </w:r>
    </w:p>
    <w:p w:rsidR="00794D0E" w:rsidRDefault="008F7F95">
      <w:pPr>
        <w:spacing w:line="336" w:lineRule="auto"/>
        <w:ind w:firstLineChars="200" w:firstLine="640"/>
        <w:rPr>
          <w:rFonts w:ascii="黑体" w:eastAsia="黑体" w:hAnsi="黑体"/>
          <w:sz w:val="32"/>
          <w:szCs w:val="32"/>
        </w:rPr>
      </w:pPr>
      <w:r>
        <w:rPr>
          <w:rFonts w:ascii="黑体" w:eastAsia="黑体" w:hAnsi="黑体" w:hint="eastAsia"/>
          <w:sz w:val="32"/>
          <w:szCs w:val="32"/>
        </w:rPr>
        <w:t>三、实施要求</w:t>
      </w:r>
    </w:p>
    <w:p w:rsidR="00794D0E" w:rsidRDefault="008F7F95">
      <w:pPr>
        <w:spacing w:line="336" w:lineRule="auto"/>
        <w:ind w:firstLineChars="150" w:firstLine="480"/>
        <w:rPr>
          <w:rFonts w:ascii="仿宋_GB2312" w:eastAsia="仿宋_GB2312"/>
          <w:sz w:val="32"/>
          <w:szCs w:val="32"/>
        </w:rPr>
      </w:pPr>
      <w:r>
        <w:rPr>
          <w:rFonts w:ascii="楷体" w:eastAsia="楷体" w:hAnsi="楷体" w:hint="eastAsia"/>
          <w:sz w:val="32"/>
          <w:szCs w:val="32"/>
        </w:rPr>
        <w:t>（一）加强组织领导。</w:t>
      </w:r>
      <w:r>
        <w:rPr>
          <w:rFonts w:ascii="仿宋_GB2312" w:eastAsia="仿宋_GB2312" w:hint="eastAsia"/>
          <w:color w:val="000000" w:themeColor="text1"/>
          <w:sz w:val="32"/>
          <w:szCs w:val="32"/>
        </w:rPr>
        <w:t>各地要高度重视医共体支付方式改革工作，统一思想、提高认识、加强领导，相关部门根据各自职能，排出时间表、路线图，保障医共体支付方式改革相关的人财物的落实。成立DRGs付费改革工作组，加强组织协调，研究解决相关问题。</w:t>
      </w:r>
      <w:r>
        <w:rPr>
          <w:rFonts w:ascii="仿宋_GB2312" w:eastAsia="仿宋_GB2312" w:hint="eastAsia"/>
          <w:sz w:val="32"/>
          <w:szCs w:val="32"/>
        </w:rPr>
        <w:t>建立由医保部门牵头组成的医</w:t>
      </w:r>
      <w:r>
        <w:rPr>
          <w:rFonts w:ascii="仿宋_GB2312" w:eastAsia="仿宋_GB2312" w:hint="eastAsia"/>
          <w:sz w:val="32"/>
          <w:szCs w:val="32"/>
        </w:rPr>
        <w:lastRenderedPageBreak/>
        <w:t>保结算联席会议，负责研究决定医疗费结算管理过程中的重大问题。</w:t>
      </w:r>
    </w:p>
    <w:p w:rsidR="00794D0E" w:rsidRDefault="008F7F95">
      <w:pPr>
        <w:spacing w:line="336" w:lineRule="auto"/>
        <w:ind w:firstLineChars="200" w:firstLine="640"/>
        <w:rPr>
          <w:rFonts w:ascii="仿宋_GB2312" w:eastAsia="仿宋_GB2312"/>
          <w:sz w:val="32"/>
          <w:szCs w:val="32"/>
        </w:rPr>
      </w:pPr>
      <w:r>
        <w:rPr>
          <w:rFonts w:ascii="楷体" w:eastAsia="楷体" w:hAnsi="楷体" w:hint="eastAsia"/>
          <w:sz w:val="32"/>
          <w:szCs w:val="32"/>
        </w:rPr>
        <w:t>(二)明确责任落实。</w:t>
      </w:r>
      <w:r>
        <w:rPr>
          <w:rFonts w:ascii="仿宋_GB2312" w:eastAsia="仿宋_GB2312" w:hint="eastAsia"/>
          <w:sz w:val="32"/>
          <w:szCs w:val="32"/>
        </w:rPr>
        <w:t>医保部门要牵头组织实施医共体支付方式改革工作，组织制定相关配套政策，监督指导医共体支付方式改革推进工作。卫生健康部门要加强基层医疗卫生机构服务能力建设，优化医疗机构绩效评价，</w:t>
      </w:r>
      <w:r>
        <w:rPr>
          <w:rFonts w:ascii="仿宋_GB2312" w:eastAsia="仿宋_GB2312" w:hAnsi="仿宋" w:cs="仿宋" w:hint="eastAsia"/>
          <w:color w:val="000000"/>
          <w:sz w:val="32"/>
          <w:szCs w:val="32"/>
        </w:rPr>
        <w:t>完善与县域医共体支付方式改革相匹配的考核办法,制定并实施分级诊疗目录和双向转诊管理办法。财政部门要积极支持县域</w:t>
      </w:r>
      <w:r w:rsidR="00683DFD">
        <w:rPr>
          <w:rFonts w:ascii="仿宋_GB2312" w:eastAsia="仿宋_GB2312" w:hAnsi="仿宋" w:cs="仿宋" w:hint="eastAsia"/>
          <w:color w:val="000000"/>
          <w:sz w:val="32"/>
          <w:szCs w:val="32"/>
        </w:rPr>
        <w:t>医共体支付方式改革工作，将改革成效作为县域医共体建设补助资金</w:t>
      </w:r>
      <w:r>
        <w:rPr>
          <w:rFonts w:ascii="仿宋_GB2312" w:eastAsia="仿宋_GB2312" w:hAnsi="仿宋" w:cs="仿宋" w:hint="eastAsia"/>
          <w:color w:val="000000"/>
          <w:sz w:val="32"/>
          <w:szCs w:val="32"/>
        </w:rPr>
        <w:t>的重要因素。人力社保部门要根据改革绩效，建立适合医共体支付方式改革的薪酬制度，支持医疗保险从业人员开展专业技术职务的评价工作；在新的医保信息系统建立之前，为医保部门提供持续有效的信息支撑。市场监管部门负责加强对药品安全生产和流通的管理，督促药店积极配合医共体支付方式改革。医共体牵头医院负责完善医保绩效考核及分配制度等</w:t>
      </w:r>
      <w:r>
        <w:rPr>
          <w:rFonts w:ascii="仿宋_GB2312" w:eastAsia="仿宋_GB2312" w:hint="eastAsia"/>
          <w:sz w:val="32"/>
          <w:szCs w:val="32"/>
        </w:rPr>
        <w:t>相关配套管理办法</w:t>
      </w:r>
      <w:r>
        <w:rPr>
          <w:rFonts w:ascii="仿宋_GB2312" w:eastAsia="仿宋_GB2312" w:hAnsi="仿宋" w:cs="仿宋" w:hint="eastAsia"/>
          <w:color w:val="000000"/>
          <w:sz w:val="32"/>
          <w:szCs w:val="32"/>
        </w:rPr>
        <w:t>；加强医保、质控、信息化等专业技术人员队伍能力建设；规范填写病案首页，准确上传明细数据；加强对其包干的参保人员的就诊费用的核查,依规引导参保人员在基层就诊。</w:t>
      </w:r>
    </w:p>
    <w:p w:rsidR="00794D0E" w:rsidRDefault="008F7F95">
      <w:pPr>
        <w:spacing w:line="336" w:lineRule="auto"/>
        <w:ind w:firstLineChars="150" w:firstLine="480"/>
        <w:rPr>
          <w:rFonts w:ascii="仿宋_GB2312" w:eastAsia="仿宋_GB2312"/>
          <w:sz w:val="32"/>
          <w:szCs w:val="32"/>
        </w:rPr>
      </w:pPr>
      <w:r>
        <w:rPr>
          <w:rFonts w:ascii="楷体" w:eastAsia="楷体" w:hAnsi="楷体" w:hint="eastAsia"/>
          <w:sz w:val="32"/>
          <w:szCs w:val="32"/>
        </w:rPr>
        <w:t>（三）加强宣传引导。</w:t>
      </w:r>
      <w:r>
        <w:rPr>
          <w:rFonts w:ascii="仿宋_GB2312" w:eastAsia="仿宋_GB2312" w:hint="eastAsia"/>
          <w:sz w:val="32"/>
          <w:szCs w:val="32"/>
        </w:rPr>
        <w:t>医保支付方式改革是一项长期而复杂的系统工程，要坚持正确的舆论导向，充分调动各方参与医保支付方式改革的积极性、主动性和创造性，为医保支</w:t>
      </w:r>
      <w:r>
        <w:rPr>
          <w:rFonts w:ascii="仿宋_GB2312" w:eastAsia="仿宋_GB2312" w:hint="eastAsia"/>
          <w:sz w:val="32"/>
          <w:szCs w:val="32"/>
        </w:rPr>
        <w:lastRenderedPageBreak/>
        <w:t>付方式改革营造良好的舆论氛围和社会环境。</w:t>
      </w:r>
    </w:p>
    <w:p w:rsidR="00794D0E" w:rsidRDefault="008F7F95">
      <w:pPr>
        <w:pStyle w:val="2"/>
        <w:widowControl/>
        <w:spacing w:line="336" w:lineRule="auto"/>
        <w:ind w:firstLineChars="150" w:firstLine="480"/>
        <w:rPr>
          <w:rFonts w:eastAsia="仿宋_GB2312"/>
          <w:sz w:val="32"/>
          <w:szCs w:val="32"/>
        </w:rPr>
      </w:pPr>
      <w:r>
        <w:rPr>
          <w:rFonts w:ascii="楷体" w:eastAsia="楷体" w:hAnsi="楷体" w:hint="eastAsia"/>
          <w:sz w:val="32"/>
          <w:szCs w:val="32"/>
        </w:rPr>
        <w:t>（四）严格监督检查。</w:t>
      </w:r>
      <w:r>
        <w:rPr>
          <w:rFonts w:ascii="仿宋_GB2312" w:eastAsia="仿宋_GB2312" w:hAnsi="仿宋" w:hint="eastAsia"/>
          <w:kern w:val="0"/>
          <w:sz w:val="32"/>
          <w:szCs w:val="32"/>
        </w:rPr>
        <w:t>各级医保部门要会同有关部门，</w:t>
      </w:r>
      <w:r>
        <w:rPr>
          <w:rFonts w:ascii="仿宋_GB2312" w:eastAsia="仿宋_GB2312" w:hint="eastAsia"/>
          <w:sz w:val="32"/>
          <w:szCs w:val="32"/>
        </w:rPr>
        <w:t>通过调研、专项督查、定期评估等方式，及时总结推广经验，指导各地有序推进医共体支付方式改革，对督查中发现的问题，相关部门、单位要列出清单、明确责任、限时整改；对改革推进不力或拒不执行的相关部门、单位及医药机构，要进行情况通报、约谈负责人、追究责任。</w:t>
      </w:r>
    </w:p>
    <w:p w:rsidR="00794D0E" w:rsidRDefault="008F7F95">
      <w:pPr>
        <w:spacing w:line="336" w:lineRule="auto"/>
        <w:ind w:firstLineChars="200" w:firstLine="640"/>
        <w:rPr>
          <w:rFonts w:ascii="黑体" w:eastAsia="黑体" w:hAnsi="黑体"/>
          <w:sz w:val="32"/>
          <w:szCs w:val="32"/>
        </w:rPr>
      </w:pPr>
      <w:r>
        <w:rPr>
          <w:rFonts w:ascii="黑体" w:eastAsia="黑体" w:hAnsi="黑体" w:hint="eastAsia"/>
          <w:sz w:val="32"/>
          <w:szCs w:val="32"/>
        </w:rPr>
        <w:t>四、其他</w:t>
      </w:r>
    </w:p>
    <w:p w:rsidR="00794D0E" w:rsidRDefault="00292AAF">
      <w:pPr>
        <w:spacing w:line="336" w:lineRule="auto"/>
        <w:ind w:firstLineChars="200" w:firstLine="640"/>
        <w:rPr>
          <w:rFonts w:ascii="仿宋_GB2312" w:eastAsia="仿宋_GB2312" w:hAnsi="Calibri"/>
          <w:sz w:val="32"/>
          <w:szCs w:val="32"/>
        </w:rPr>
      </w:pPr>
      <w:r>
        <w:rPr>
          <w:rFonts w:ascii="仿宋_GB2312" w:eastAsia="仿宋_GB2312" w:hAnsi="Calibri" w:hint="eastAsia"/>
          <w:sz w:val="32"/>
          <w:szCs w:val="32"/>
        </w:rPr>
        <w:t>未开展医共体建设的</w:t>
      </w:r>
      <w:r w:rsidR="00B677E7">
        <w:rPr>
          <w:rFonts w:ascii="仿宋_GB2312" w:eastAsia="仿宋_GB2312" w:hAnsi="Calibri" w:hint="eastAsia"/>
          <w:sz w:val="32"/>
          <w:szCs w:val="32"/>
        </w:rPr>
        <w:t>其他医药机构的医保支付方式</w:t>
      </w:r>
      <w:r>
        <w:rPr>
          <w:rFonts w:ascii="仿宋_GB2312" w:eastAsia="仿宋_GB2312" w:hAnsi="Calibri" w:hint="eastAsia"/>
          <w:sz w:val="32"/>
          <w:szCs w:val="32"/>
        </w:rPr>
        <w:t>改革，</w:t>
      </w:r>
      <w:r w:rsidR="00B677E7">
        <w:rPr>
          <w:rFonts w:ascii="仿宋_GB2312" w:eastAsia="仿宋_GB2312" w:hAnsi="Calibri" w:hint="eastAsia"/>
          <w:sz w:val="32"/>
          <w:szCs w:val="32"/>
        </w:rPr>
        <w:t>参</w:t>
      </w:r>
      <w:r w:rsidR="008F7F95">
        <w:rPr>
          <w:rFonts w:ascii="仿宋_GB2312" w:eastAsia="仿宋_GB2312" w:hAnsi="Calibri" w:hint="eastAsia"/>
          <w:sz w:val="32"/>
          <w:szCs w:val="32"/>
        </w:rPr>
        <w:t>照本</w:t>
      </w:r>
      <w:r w:rsidR="005A30B5">
        <w:rPr>
          <w:rFonts w:ascii="仿宋_GB2312" w:eastAsia="仿宋_GB2312" w:hAnsi="Calibri" w:hint="eastAsia"/>
          <w:sz w:val="32"/>
          <w:szCs w:val="32"/>
        </w:rPr>
        <w:t>实施细则</w:t>
      </w:r>
      <w:r w:rsidR="008F7F95">
        <w:rPr>
          <w:rFonts w:ascii="仿宋_GB2312" w:eastAsia="仿宋_GB2312" w:hAnsi="Calibri" w:hint="eastAsia"/>
          <w:sz w:val="32"/>
          <w:szCs w:val="32"/>
        </w:rPr>
        <w:t>执行。</w:t>
      </w:r>
    </w:p>
    <w:p w:rsidR="00794D0E" w:rsidRDefault="00794D0E">
      <w:pPr>
        <w:spacing w:line="336" w:lineRule="auto"/>
        <w:ind w:firstLineChars="200" w:firstLine="640"/>
        <w:rPr>
          <w:rFonts w:ascii="仿宋_GB2312" w:eastAsia="仿宋_GB2312" w:hAnsi="Calibri"/>
          <w:sz w:val="32"/>
          <w:szCs w:val="32"/>
        </w:rPr>
      </w:pPr>
    </w:p>
    <w:sectPr w:rsidR="00794D0E" w:rsidSect="00794D0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FE0" w:rsidRDefault="00CB5FE0" w:rsidP="00794D0E">
      <w:pPr>
        <w:ind w:firstLine="640"/>
      </w:pPr>
      <w:r>
        <w:separator/>
      </w:r>
    </w:p>
  </w:endnote>
  <w:endnote w:type="continuationSeparator" w:id="1">
    <w:p w:rsidR="00CB5FE0" w:rsidRDefault="00CB5FE0" w:rsidP="00794D0E">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小标宋">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891245"/>
    </w:sdtPr>
    <w:sdtContent>
      <w:p w:rsidR="00794D0E" w:rsidRDefault="00165215">
        <w:pPr>
          <w:pStyle w:val="a4"/>
          <w:jc w:val="center"/>
        </w:pPr>
        <w:r>
          <w:fldChar w:fldCharType="begin"/>
        </w:r>
        <w:r w:rsidR="008F7F95">
          <w:instrText>PAGE   \* MERGEFORMAT</w:instrText>
        </w:r>
        <w:r>
          <w:fldChar w:fldCharType="separate"/>
        </w:r>
        <w:r w:rsidR="00835DE7" w:rsidRPr="00835DE7">
          <w:rPr>
            <w:noProof/>
            <w:lang w:val="zh-CN"/>
          </w:rPr>
          <w:t>10</w:t>
        </w:r>
        <w:r>
          <w:fldChar w:fldCharType="end"/>
        </w:r>
      </w:p>
    </w:sdtContent>
  </w:sdt>
  <w:p w:rsidR="00794D0E" w:rsidRDefault="00794D0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FE0" w:rsidRDefault="00CB5FE0" w:rsidP="00794D0E">
      <w:pPr>
        <w:ind w:firstLine="640"/>
      </w:pPr>
      <w:r>
        <w:separator/>
      </w:r>
    </w:p>
  </w:footnote>
  <w:footnote w:type="continuationSeparator" w:id="1">
    <w:p w:rsidR="00CB5FE0" w:rsidRDefault="00CB5FE0" w:rsidP="00794D0E">
      <w:pPr>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3199"/>
    <w:rsid w:val="0000124E"/>
    <w:rsid w:val="000017EF"/>
    <w:rsid w:val="000039FC"/>
    <w:rsid w:val="0001311E"/>
    <w:rsid w:val="000141C1"/>
    <w:rsid w:val="00021F28"/>
    <w:rsid w:val="0002541C"/>
    <w:rsid w:val="00032515"/>
    <w:rsid w:val="000423C7"/>
    <w:rsid w:val="000473E5"/>
    <w:rsid w:val="000524A7"/>
    <w:rsid w:val="00055EF5"/>
    <w:rsid w:val="000567CF"/>
    <w:rsid w:val="0005774B"/>
    <w:rsid w:val="00071AC6"/>
    <w:rsid w:val="000735DB"/>
    <w:rsid w:val="00074C0F"/>
    <w:rsid w:val="00083834"/>
    <w:rsid w:val="000903A6"/>
    <w:rsid w:val="000928AC"/>
    <w:rsid w:val="00097C8A"/>
    <w:rsid w:val="000A5D17"/>
    <w:rsid w:val="000B1A84"/>
    <w:rsid w:val="000B6610"/>
    <w:rsid w:val="000D0B74"/>
    <w:rsid w:val="000D0BA1"/>
    <w:rsid w:val="000E094F"/>
    <w:rsid w:val="000E2E19"/>
    <w:rsid w:val="000F199A"/>
    <w:rsid w:val="001033D9"/>
    <w:rsid w:val="00116461"/>
    <w:rsid w:val="00126BFA"/>
    <w:rsid w:val="0013481F"/>
    <w:rsid w:val="00137BF1"/>
    <w:rsid w:val="0014343C"/>
    <w:rsid w:val="00146197"/>
    <w:rsid w:val="00147238"/>
    <w:rsid w:val="001521B6"/>
    <w:rsid w:val="00153035"/>
    <w:rsid w:val="001630BD"/>
    <w:rsid w:val="00163EC2"/>
    <w:rsid w:val="00165215"/>
    <w:rsid w:val="0016702E"/>
    <w:rsid w:val="001719FE"/>
    <w:rsid w:val="00182198"/>
    <w:rsid w:val="001921BE"/>
    <w:rsid w:val="001B132F"/>
    <w:rsid w:val="001B2E38"/>
    <w:rsid w:val="001B58C2"/>
    <w:rsid w:val="001C1258"/>
    <w:rsid w:val="001D7B36"/>
    <w:rsid w:val="001F3BEC"/>
    <w:rsid w:val="001F4475"/>
    <w:rsid w:val="001F50BB"/>
    <w:rsid w:val="001F5CE1"/>
    <w:rsid w:val="00203232"/>
    <w:rsid w:val="00207B67"/>
    <w:rsid w:val="002147CB"/>
    <w:rsid w:val="00225426"/>
    <w:rsid w:val="002347F6"/>
    <w:rsid w:val="0023610E"/>
    <w:rsid w:val="00237E01"/>
    <w:rsid w:val="00251F9A"/>
    <w:rsid w:val="00252E7B"/>
    <w:rsid w:val="00267025"/>
    <w:rsid w:val="002775E3"/>
    <w:rsid w:val="002845A1"/>
    <w:rsid w:val="00292AAF"/>
    <w:rsid w:val="002940F1"/>
    <w:rsid w:val="002B0370"/>
    <w:rsid w:val="002B16C0"/>
    <w:rsid w:val="002B6D53"/>
    <w:rsid w:val="002C3B03"/>
    <w:rsid w:val="002D0C43"/>
    <w:rsid w:val="002D653C"/>
    <w:rsid w:val="002F1BE8"/>
    <w:rsid w:val="00303C5E"/>
    <w:rsid w:val="00320660"/>
    <w:rsid w:val="0032119B"/>
    <w:rsid w:val="00324018"/>
    <w:rsid w:val="00325230"/>
    <w:rsid w:val="00332B52"/>
    <w:rsid w:val="003339D3"/>
    <w:rsid w:val="00341D22"/>
    <w:rsid w:val="00351F92"/>
    <w:rsid w:val="00354F0C"/>
    <w:rsid w:val="00356770"/>
    <w:rsid w:val="00381646"/>
    <w:rsid w:val="003902F1"/>
    <w:rsid w:val="00393248"/>
    <w:rsid w:val="00396B56"/>
    <w:rsid w:val="003A1F7D"/>
    <w:rsid w:val="003A7D75"/>
    <w:rsid w:val="003B1B4A"/>
    <w:rsid w:val="003C1C8B"/>
    <w:rsid w:val="003C2585"/>
    <w:rsid w:val="003E2BDC"/>
    <w:rsid w:val="003F517D"/>
    <w:rsid w:val="004006C9"/>
    <w:rsid w:val="00401331"/>
    <w:rsid w:val="00415AFA"/>
    <w:rsid w:val="00443EA5"/>
    <w:rsid w:val="00463682"/>
    <w:rsid w:val="004703E9"/>
    <w:rsid w:val="0047411A"/>
    <w:rsid w:val="004775C8"/>
    <w:rsid w:val="00487C35"/>
    <w:rsid w:val="004914AF"/>
    <w:rsid w:val="004923E3"/>
    <w:rsid w:val="004B145A"/>
    <w:rsid w:val="004B340D"/>
    <w:rsid w:val="004B7D98"/>
    <w:rsid w:val="004C054A"/>
    <w:rsid w:val="004C2FE4"/>
    <w:rsid w:val="004C6F3A"/>
    <w:rsid w:val="004D1A76"/>
    <w:rsid w:val="004D3F3A"/>
    <w:rsid w:val="004D699C"/>
    <w:rsid w:val="004E1737"/>
    <w:rsid w:val="004E225D"/>
    <w:rsid w:val="004E4C59"/>
    <w:rsid w:val="00500A3E"/>
    <w:rsid w:val="00512CFA"/>
    <w:rsid w:val="005162FE"/>
    <w:rsid w:val="00527B96"/>
    <w:rsid w:val="00533670"/>
    <w:rsid w:val="00540C0C"/>
    <w:rsid w:val="00563480"/>
    <w:rsid w:val="00564618"/>
    <w:rsid w:val="005742D3"/>
    <w:rsid w:val="00575243"/>
    <w:rsid w:val="00590C9C"/>
    <w:rsid w:val="00594AAC"/>
    <w:rsid w:val="00597F04"/>
    <w:rsid w:val="005A30B5"/>
    <w:rsid w:val="005A5F0F"/>
    <w:rsid w:val="005B650A"/>
    <w:rsid w:val="005C36F1"/>
    <w:rsid w:val="005C5A77"/>
    <w:rsid w:val="005D3BA4"/>
    <w:rsid w:val="005E0F3B"/>
    <w:rsid w:val="005E1D66"/>
    <w:rsid w:val="005F662E"/>
    <w:rsid w:val="00601342"/>
    <w:rsid w:val="006169AA"/>
    <w:rsid w:val="0064380D"/>
    <w:rsid w:val="00644CCB"/>
    <w:rsid w:val="0065579E"/>
    <w:rsid w:val="00660C9D"/>
    <w:rsid w:val="00662AD5"/>
    <w:rsid w:val="00667E0D"/>
    <w:rsid w:val="00673733"/>
    <w:rsid w:val="006817EF"/>
    <w:rsid w:val="00683DFD"/>
    <w:rsid w:val="006A4D13"/>
    <w:rsid w:val="006A4D98"/>
    <w:rsid w:val="006B1987"/>
    <w:rsid w:val="006B4DC3"/>
    <w:rsid w:val="006B675A"/>
    <w:rsid w:val="006B6BEC"/>
    <w:rsid w:val="006D0B49"/>
    <w:rsid w:val="006E5D51"/>
    <w:rsid w:val="006E716B"/>
    <w:rsid w:val="00703455"/>
    <w:rsid w:val="00710D18"/>
    <w:rsid w:val="00723199"/>
    <w:rsid w:val="00726EFA"/>
    <w:rsid w:val="00727C9D"/>
    <w:rsid w:val="0073124B"/>
    <w:rsid w:val="0074284B"/>
    <w:rsid w:val="007444F9"/>
    <w:rsid w:val="00746C63"/>
    <w:rsid w:val="00765F26"/>
    <w:rsid w:val="007666E3"/>
    <w:rsid w:val="00766B44"/>
    <w:rsid w:val="00767097"/>
    <w:rsid w:val="00767EF1"/>
    <w:rsid w:val="0077230C"/>
    <w:rsid w:val="0077525C"/>
    <w:rsid w:val="0079357C"/>
    <w:rsid w:val="00793D38"/>
    <w:rsid w:val="00794D0E"/>
    <w:rsid w:val="00797B8C"/>
    <w:rsid w:val="007A0327"/>
    <w:rsid w:val="007A78F3"/>
    <w:rsid w:val="007C5C03"/>
    <w:rsid w:val="007C65E2"/>
    <w:rsid w:val="007C6630"/>
    <w:rsid w:val="007E7EE9"/>
    <w:rsid w:val="00801057"/>
    <w:rsid w:val="00801520"/>
    <w:rsid w:val="00814FD8"/>
    <w:rsid w:val="008277CC"/>
    <w:rsid w:val="00835DE7"/>
    <w:rsid w:val="00852D9A"/>
    <w:rsid w:val="00875AE8"/>
    <w:rsid w:val="008A52BD"/>
    <w:rsid w:val="008B1104"/>
    <w:rsid w:val="008B5DAB"/>
    <w:rsid w:val="008B7A86"/>
    <w:rsid w:val="008C0042"/>
    <w:rsid w:val="008E56B5"/>
    <w:rsid w:val="008F173B"/>
    <w:rsid w:val="008F7F95"/>
    <w:rsid w:val="00901145"/>
    <w:rsid w:val="009022D1"/>
    <w:rsid w:val="00902A58"/>
    <w:rsid w:val="00913578"/>
    <w:rsid w:val="009157CD"/>
    <w:rsid w:val="00921040"/>
    <w:rsid w:val="00924165"/>
    <w:rsid w:val="0093292C"/>
    <w:rsid w:val="00944EEE"/>
    <w:rsid w:val="0096043E"/>
    <w:rsid w:val="00965D46"/>
    <w:rsid w:val="009661CD"/>
    <w:rsid w:val="009664B8"/>
    <w:rsid w:val="00972585"/>
    <w:rsid w:val="009919CB"/>
    <w:rsid w:val="009A152B"/>
    <w:rsid w:val="009B0A2E"/>
    <w:rsid w:val="009B63F4"/>
    <w:rsid w:val="009D187F"/>
    <w:rsid w:val="009E09E2"/>
    <w:rsid w:val="009E2D53"/>
    <w:rsid w:val="009E7AA3"/>
    <w:rsid w:val="009F0DD0"/>
    <w:rsid w:val="009F3F6F"/>
    <w:rsid w:val="00A05CF0"/>
    <w:rsid w:val="00A12DD6"/>
    <w:rsid w:val="00A140CA"/>
    <w:rsid w:val="00A17629"/>
    <w:rsid w:val="00A17E62"/>
    <w:rsid w:val="00A206D6"/>
    <w:rsid w:val="00A2253D"/>
    <w:rsid w:val="00A24231"/>
    <w:rsid w:val="00A24C1D"/>
    <w:rsid w:val="00A30437"/>
    <w:rsid w:val="00A40E9D"/>
    <w:rsid w:val="00A471F2"/>
    <w:rsid w:val="00A65248"/>
    <w:rsid w:val="00A71939"/>
    <w:rsid w:val="00A76728"/>
    <w:rsid w:val="00A77CA1"/>
    <w:rsid w:val="00A77EDC"/>
    <w:rsid w:val="00A855DB"/>
    <w:rsid w:val="00A85736"/>
    <w:rsid w:val="00A96A77"/>
    <w:rsid w:val="00AA0BB5"/>
    <w:rsid w:val="00AA55F8"/>
    <w:rsid w:val="00AB205B"/>
    <w:rsid w:val="00AB6951"/>
    <w:rsid w:val="00AC3273"/>
    <w:rsid w:val="00AE00DC"/>
    <w:rsid w:val="00AE36B8"/>
    <w:rsid w:val="00AE5792"/>
    <w:rsid w:val="00AF1153"/>
    <w:rsid w:val="00B00B40"/>
    <w:rsid w:val="00B12FFF"/>
    <w:rsid w:val="00B22083"/>
    <w:rsid w:val="00B37238"/>
    <w:rsid w:val="00B477FC"/>
    <w:rsid w:val="00B60149"/>
    <w:rsid w:val="00B677E7"/>
    <w:rsid w:val="00B72FFB"/>
    <w:rsid w:val="00B7735D"/>
    <w:rsid w:val="00B81022"/>
    <w:rsid w:val="00B868A2"/>
    <w:rsid w:val="00B87FD6"/>
    <w:rsid w:val="00B94649"/>
    <w:rsid w:val="00BA1117"/>
    <w:rsid w:val="00BB2EBA"/>
    <w:rsid w:val="00BB4CD5"/>
    <w:rsid w:val="00BB52B9"/>
    <w:rsid w:val="00BB708E"/>
    <w:rsid w:val="00BB7A23"/>
    <w:rsid w:val="00BB7DCB"/>
    <w:rsid w:val="00BC3FEC"/>
    <w:rsid w:val="00BC5FFF"/>
    <w:rsid w:val="00BD2072"/>
    <w:rsid w:val="00BF0EB0"/>
    <w:rsid w:val="00BF23DF"/>
    <w:rsid w:val="00C022CF"/>
    <w:rsid w:val="00C07CBA"/>
    <w:rsid w:val="00C10387"/>
    <w:rsid w:val="00C13684"/>
    <w:rsid w:val="00C212BA"/>
    <w:rsid w:val="00C21DAD"/>
    <w:rsid w:val="00C308BB"/>
    <w:rsid w:val="00C3739B"/>
    <w:rsid w:val="00C44620"/>
    <w:rsid w:val="00C46B66"/>
    <w:rsid w:val="00C56496"/>
    <w:rsid w:val="00C60809"/>
    <w:rsid w:val="00C738D7"/>
    <w:rsid w:val="00C805A7"/>
    <w:rsid w:val="00C835B9"/>
    <w:rsid w:val="00C86845"/>
    <w:rsid w:val="00C97DF9"/>
    <w:rsid w:val="00CA01C6"/>
    <w:rsid w:val="00CB02CD"/>
    <w:rsid w:val="00CB3235"/>
    <w:rsid w:val="00CB5FE0"/>
    <w:rsid w:val="00CB6E3B"/>
    <w:rsid w:val="00CD296C"/>
    <w:rsid w:val="00CD6243"/>
    <w:rsid w:val="00CE4D76"/>
    <w:rsid w:val="00CE4DDC"/>
    <w:rsid w:val="00CF4F68"/>
    <w:rsid w:val="00D05FED"/>
    <w:rsid w:val="00D13247"/>
    <w:rsid w:val="00D13D30"/>
    <w:rsid w:val="00D40B64"/>
    <w:rsid w:val="00D45926"/>
    <w:rsid w:val="00D54B85"/>
    <w:rsid w:val="00D60A27"/>
    <w:rsid w:val="00D617EE"/>
    <w:rsid w:val="00D95C1E"/>
    <w:rsid w:val="00D96CE2"/>
    <w:rsid w:val="00D97BA0"/>
    <w:rsid w:val="00D97FE9"/>
    <w:rsid w:val="00DC7732"/>
    <w:rsid w:val="00DE07D2"/>
    <w:rsid w:val="00DF1E87"/>
    <w:rsid w:val="00DF4767"/>
    <w:rsid w:val="00DF6D2C"/>
    <w:rsid w:val="00E25571"/>
    <w:rsid w:val="00E33954"/>
    <w:rsid w:val="00E35CF5"/>
    <w:rsid w:val="00E4078E"/>
    <w:rsid w:val="00E510D9"/>
    <w:rsid w:val="00E5190C"/>
    <w:rsid w:val="00E52E64"/>
    <w:rsid w:val="00E63AEE"/>
    <w:rsid w:val="00E65436"/>
    <w:rsid w:val="00E76267"/>
    <w:rsid w:val="00E975CD"/>
    <w:rsid w:val="00EA190C"/>
    <w:rsid w:val="00EA2046"/>
    <w:rsid w:val="00EA3F2B"/>
    <w:rsid w:val="00EB1712"/>
    <w:rsid w:val="00EB23CB"/>
    <w:rsid w:val="00EB6312"/>
    <w:rsid w:val="00EC29AA"/>
    <w:rsid w:val="00EE1F9B"/>
    <w:rsid w:val="00EE31A2"/>
    <w:rsid w:val="00EF058E"/>
    <w:rsid w:val="00F04846"/>
    <w:rsid w:val="00F1389B"/>
    <w:rsid w:val="00F22811"/>
    <w:rsid w:val="00F23E42"/>
    <w:rsid w:val="00F25F4C"/>
    <w:rsid w:val="00F444DD"/>
    <w:rsid w:val="00F45CD8"/>
    <w:rsid w:val="00F6118E"/>
    <w:rsid w:val="00F622B7"/>
    <w:rsid w:val="00F63B41"/>
    <w:rsid w:val="00F67DD3"/>
    <w:rsid w:val="00F71B3C"/>
    <w:rsid w:val="00F777AC"/>
    <w:rsid w:val="00F934D7"/>
    <w:rsid w:val="00FA2762"/>
    <w:rsid w:val="00FA6B83"/>
    <w:rsid w:val="00FB5D87"/>
    <w:rsid w:val="00FC1FB9"/>
    <w:rsid w:val="00FC34D6"/>
    <w:rsid w:val="00FC667F"/>
    <w:rsid w:val="00FD4E43"/>
    <w:rsid w:val="00FD580F"/>
    <w:rsid w:val="00FE165E"/>
    <w:rsid w:val="00FE6A67"/>
    <w:rsid w:val="00FE7B6D"/>
    <w:rsid w:val="00FF6849"/>
    <w:rsid w:val="03210C81"/>
    <w:rsid w:val="26A415D9"/>
    <w:rsid w:val="3AAE4BF7"/>
    <w:rsid w:val="4F5156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D0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94D0E"/>
    <w:rPr>
      <w:sz w:val="18"/>
      <w:szCs w:val="18"/>
    </w:rPr>
  </w:style>
  <w:style w:type="paragraph" w:styleId="a4">
    <w:name w:val="footer"/>
    <w:basedOn w:val="a"/>
    <w:link w:val="Char0"/>
    <w:uiPriority w:val="99"/>
    <w:unhideWhenUsed/>
    <w:rsid w:val="00794D0E"/>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794D0E"/>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rsid w:val="00794D0E"/>
    <w:pPr>
      <w:ind w:firstLineChars="200" w:firstLine="420"/>
    </w:pPr>
  </w:style>
  <w:style w:type="character" w:customStyle="1" w:styleId="Char1">
    <w:name w:val="页眉 Char"/>
    <w:link w:val="a5"/>
    <w:uiPriority w:val="99"/>
    <w:qFormat/>
    <w:rsid w:val="00794D0E"/>
    <w:rPr>
      <w:kern w:val="2"/>
      <w:sz w:val="18"/>
      <w:szCs w:val="18"/>
    </w:rPr>
  </w:style>
  <w:style w:type="character" w:customStyle="1" w:styleId="Char0">
    <w:name w:val="页脚 Char"/>
    <w:link w:val="a4"/>
    <w:uiPriority w:val="99"/>
    <w:qFormat/>
    <w:rsid w:val="00794D0E"/>
    <w:rPr>
      <w:kern w:val="2"/>
      <w:sz w:val="18"/>
      <w:szCs w:val="18"/>
    </w:rPr>
  </w:style>
  <w:style w:type="paragraph" w:customStyle="1" w:styleId="2">
    <w:name w:val="列出段落2"/>
    <w:basedOn w:val="a"/>
    <w:uiPriority w:val="99"/>
    <w:unhideWhenUsed/>
    <w:qFormat/>
    <w:rsid w:val="00794D0E"/>
    <w:pPr>
      <w:ind w:firstLineChars="200" w:firstLine="420"/>
    </w:pPr>
    <w:rPr>
      <w:rFonts w:ascii="Calibri" w:eastAsia="宋体" w:hAnsi="Calibri"/>
    </w:rPr>
  </w:style>
  <w:style w:type="character" w:customStyle="1" w:styleId="Char">
    <w:name w:val="批注框文本 Char"/>
    <w:basedOn w:val="a0"/>
    <w:link w:val="a3"/>
    <w:uiPriority w:val="99"/>
    <w:semiHidden/>
    <w:rsid w:val="00794D0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79B08D8-6870-4E9A-A989-94DB694981C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727</Words>
  <Characters>4148</Characters>
  <Application>Microsoft Office Word</Application>
  <DocSecurity>0</DocSecurity>
  <Lines>34</Lines>
  <Paragraphs>9</Paragraphs>
  <ScaleCrop>false</ScaleCrop>
  <Company>Microsoft</Company>
  <LinksUpToDate>false</LinksUpToDate>
  <CharactersWithSpaces>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lsxu925@163.com</dc:creator>
  <cp:lastModifiedBy>黄蕾</cp:lastModifiedBy>
  <cp:revision>3</cp:revision>
  <cp:lastPrinted>2019-08-19T09:53:00Z</cp:lastPrinted>
  <dcterms:created xsi:type="dcterms:W3CDTF">2019-09-02T09:08:00Z</dcterms:created>
  <dcterms:modified xsi:type="dcterms:W3CDTF">2019-09-02T09:25:00Z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2052-11.1.0.8663</vt:lpwstr>
  </property>
</Properties>
</file>