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C3" w:rsidRDefault="005149C3" w:rsidP="005149C3">
      <w:pPr>
        <w:jc w:val="left"/>
        <w:rPr>
          <w:rFonts w:ascii="黑体" w:eastAsia="黑体" w:hAnsi="黑体" w:hint="eastAsia"/>
          <w:sz w:val="44"/>
          <w:szCs w:val="44"/>
        </w:rPr>
      </w:pPr>
      <w:r>
        <w:rPr>
          <w:rFonts w:ascii="黑体" w:eastAsia="黑体" w:hAnsi="黑体" w:hint="eastAsia"/>
          <w:sz w:val="44"/>
          <w:szCs w:val="44"/>
        </w:rPr>
        <w:t>附：</w:t>
      </w:r>
    </w:p>
    <w:p w:rsidR="005149C3" w:rsidRDefault="005149C3" w:rsidP="005149C3">
      <w:pPr>
        <w:jc w:val="center"/>
        <w:rPr>
          <w:rFonts w:ascii="黑体" w:eastAsia="黑体" w:hAnsi="黑体" w:hint="eastAsia"/>
          <w:sz w:val="44"/>
          <w:szCs w:val="44"/>
        </w:rPr>
      </w:pPr>
      <w:r w:rsidRPr="00FA2D04">
        <w:rPr>
          <w:rFonts w:ascii="黑体" w:eastAsia="黑体" w:hAnsi="黑体" w:hint="eastAsia"/>
          <w:sz w:val="44"/>
          <w:szCs w:val="44"/>
        </w:rPr>
        <w:t>关于调整我市工伤保险费率</w:t>
      </w:r>
    </w:p>
    <w:p w:rsidR="005149C3" w:rsidRDefault="005149C3" w:rsidP="005149C3">
      <w:pPr>
        <w:jc w:val="center"/>
        <w:rPr>
          <w:rFonts w:ascii="黑体" w:eastAsia="黑体" w:hAnsi="黑体" w:hint="eastAsia"/>
          <w:sz w:val="44"/>
          <w:szCs w:val="44"/>
        </w:rPr>
      </w:pPr>
      <w:r>
        <w:rPr>
          <w:rFonts w:ascii="黑体" w:eastAsia="黑体" w:hAnsi="黑体" w:hint="eastAsia"/>
          <w:sz w:val="44"/>
          <w:szCs w:val="44"/>
        </w:rPr>
        <w:t>有关问题</w:t>
      </w:r>
      <w:r w:rsidRPr="00FA2D04">
        <w:rPr>
          <w:rFonts w:ascii="黑体" w:eastAsia="黑体" w:hAnsi="黑体" w:hint="eastAsia"/>
          <w:sz w:val="44"/>
          <w:szCs w:val="44"/>
        </w:rPr>
        <w:t>的通知</w:t>
      </w:r>
    </w:p>
    <w:p w:rsidR="005149C3" w:rsidRPr="00FA2D04" w:rsidRDefault="005149C3" w:rsidP="005149C3">
      <w:pPr>
        <w:jc w:val="center"/>
        <w:rPr>
          <w:rFonts w:ascii="黑体" w:eastAsia="黑体" w:hAnsi="黑体" w:hint="eastAsia"/>
          <w:sz w:val="32"/>
          <w:szCs w:val="32"/>
        </w:rPr>
      </w:pPr>
      <w:r w:rsidRPr="00FA2D04">
        <w:rPr>
          <w:rFonts w:ascii="黑体" w:eastAsia="黑体" w:hAnsi="黑体" w:hint="eastAsia"/>
          <w:sz w:val="32"/>
          <w:szCs w:val="32"/>
        </w:rPr>
        <w:t>（</w:t>
      </w:r>
      <w:r>
        <w:rPr>
          <w:rFonts w:ascii="黑体" w:eastAsia="黑体" w:hAnsi="黑体" w:hint="eastAsia"/>
          <w:sz w:val="32"/>
          <w:szCs w:val="32"/>
        </w:rPr>
        <w:t>征求意见稿</w:t>
      </w:r>
      <w:r w:rsidRPr="00FA2D04">
        <w:rPr>
          <w:rFonts w:ascii="黑体" w:eastAsia="黑体" w:hAnsi="黑体" w:hint="eastAsia"/>
          <w:sz w:val="32"/>
          <w:szCs w:val="32"/>
        </w:rPr>
        <w:t>）</w:t>
      </w:r>
    </w:p>
    <w:p w:rsidR="005149C3" w:rsidRDefault="005149C3" w:rsidP="005149C3">
      <w:pPr>
        <w:rPr>
          <w:rFonts w:hint="eastAsia"/>
          <w:sz w:val="32"/>
          <w:szCs w:val="32"/>
        </w:rPr>
      </w:pPr>
    </w:p>
    <w:p w:rsidR="005149C3" w:rsidRDefault="005149C3" w:rsidP="005149C3">
      <w:pPr>
        <w:rPr>
          <w:rFonts w:ascii="宋体" w:hAnsi="宋体" w:hint="eastAsia"/>
          <w:sz w:val="32"/>
          <w:szCs w:val="32"/>
        </w:rPr>
      </w:pPr>
      <w:r>
        <w:rPr>
          <w:rFonts w:hint="eastAsia"/>
          <w:sz w:val="32"/>
          <w:szCs w:val="32"/>
        </w:rPr>
        <w:t xml:space="preserve">    </w:t>
      </w:r>
      <w:r>
        <w:rPr>
          <w:rFonts w:hint="eastAsia"/>
          <w:sz w:val="32"/>
          <w:szCs w:val="32"/>
        </w:rPr>
        <w:t>为更好贯彻《中华人民共和国社会保险法》《工伤保险条例》，使我市工伤保险费率政策更加科学、合理，以适应经济社会发展需要，</w:t>
      </w:r>
      <w:proofErr w:type="gramStart"/>
      <w:r>
        <w:rPr>
          <w:rFonts w:hint="eastAsia"/>
          <w:sz w:val="32"/>
          <w:szCs w:val="32"/>
        </w:rPr>
        <w:t>根据人社部</w:t>
      </w:r>
      <w:proofErr w:type="gramEnd"/>
      <w:r>
        <w:rPr>
          <w:rFonts w:hint="eastAsia"/>
          <w:sz w:val="32"/>
          <w:szCs w:val="32"/>
        </w:rPr>
        <w:t>、财政部《关于调整工伤保险费率政策的通知》（</w:t>
      </w:r>
      <w:proofErr w:type="gramStart"/>
      <w:r>
        <w:rPr>
          <w:rFonts w:hint="eastAsia"/>
          <w:sz w:val="32"/>
          <w:szCs w:val="32"/>
        </w:rPr>
        <w:t>人社部</w:t>
      </w:r>
      <w:proofErr w:type="gramEnd"/>
      <w:r>
        <w:rPr>
          <w:rFonts w:hint="eastAsia"/>
          <w:sz w:val="32"/>
          <w:szCs w:val="32"/>
        </w:rPr>
        <w:t>发</w:t>
      </w:r>
      <w:r>
        <w:rPr>
          <w:rFonts w:ascii="宋体" w:hAnsi="宋体" w:hint="eastAsia"/>
          <w:sz w:val="32"/>
          <w:szCs w:val="32"/>
        </w:rPr>
        <w:t>〔2015〕71号）、《关于做好工伤保险费率调整工作，进一步加强基金管理的指导意见》（</w:t>
      </w:r>
      <w:proofErr w:type="gramStart"/>
      <w:r>
        <w:rPr>
          <w:rFonts w:ascii="宋体" w:hAnsi="宋体" w:hint="eastAsia"/>
          <w:sz w:val="32"/>
          <w:szCs w:val="32"/>
        </w:rPr>
        <w:t>人社部</w:t>
      </w:r>
      <w:proofErr w:type="gramEnd"/>
      <w:r>
        <w:rPr>
          <w:rFonts w:ascii="宋体" w:hAnsi="宋体" w:hint="eastAsia"/>
          <w:sz w:val="32"/>
          <w:szCs w:val="32"/>
        </w:rPr>
        <w:t>发〔2015〕72号）和《省人社厅、财政厅、地税局转发人力资源社会保障部财政部关于调整工伤保险费率政策和加强基金管理意见的通知》（浙</w:t>
      </w:r>
      <w:proofErr w:type="gramStart"/>
      <w:r>
        <w:rPr>
          <w:rFonts w:ascii="宋体" w:hAnsi="宋体" w:hint="eastAsia"/>
          <w:sz w:val="32"/>
          <w:szCs w:val="32"/>
        </w:rPr>
        <w:t>人社发</w:t>
      </w:r>
      <w:proofErr w:type="gramEnd"/>
      <w:r>
        <w:rPr>
          <w:rFonts w:ascii="宋体" w:hAnsi="宋体" w:hint="eastAsia"/>
          <w:sz w:val="32"/>
          <w:szCs w:val="32"/>
        </w:rPr>
        <w:t>〔2015〕96号）要求，经市政府同意，现将我市工伤保险费率调整有关事项通知如下：</w:t>
      </w:r>
    </w:p>
    <w:p w:rsidR="005149C3" w:rsidRPr="003742E5" w:rsidRDefault="005149C3" w:rsidP="005149C3">
      <w:pPr>
        <w:rPr>
          <w:rFonts w:ascii="黑体" w:eastAsia="黑体" w:hAnsi="黑体" w:hint="eastAsia"/>
          <w:sz w:val="32"/>
          <w:szCs w:val="32"/>
        </w:rPr>
      </w:pPr>
      <w:r w:rsidRPr="003742E5">
        <w:rPr>
          <w:rFonts w:ascii="黑体" w:eastAsia="黑体" w:hAnsi="黑体" w:hint="eastAsia"/>
          <w:sz w:val="32"/>
          <w:szCs w:val="32"/>
        </w:rPr>
        <w:t xml:space="preserve">    一、调整行业工伤风险类别划分</w:t>
      </w:r>
    </w:p>
    <w:p w:rsidR="005149C3" w:rsidRDefault="005149C3" w:rsidP="005149C3">
      <w:pPr>
        <w:rPr>
          <w:rFonts w:ascii="宋体" w:hAnsi="宋体" w:hint="eastAsia"/>
          <w:sz w:val="32"/>
          <w:szCs w:val="32"/>
        </w:rPr>
      </w:pPr>
      <w:r>
        <w:rPr>
          <w:rFonts w:ascii="宋体" w:hAnsi="宋体" w:hint="eastAsia"/>
          <w:sz w:val="32"/>
          <w:szCs w:val="32"/>
        </w:rPr>
        <w:t xml:space="preserve">    </w:t>
      </w:r>
      <w:r w:rsidRPr="00D03376">
        <w:rPr>
          <w:rFonts w:ascii="宋体" w:hAnsi="宋体" w:hint="eastAsia"/>
          <w:sz w:val="32"/>
          <w:szCs w:val="32"/>
        </w:rPr>
        <w:t>按照</w:t>
      </w:r>
      <w:r>
        <w:rPr>
          <w:rFonts w:hint="eastAsia"/>
          <w:sz w:val="32"/>
          <w:szCs w:val="32"/>
        </w:rPr>
        <w:t>《国民经济行业分类》（</w:t>
      </w:r>
      <w:r>
        <w:rPr>
          <w:rFonts w:hint="eastAsia"/>
          <w:sz w:val="32"/>
          <w:szCs w:val="32"/>
        </w:rPr>
        <w:t>GB/T4754</w:t>
      </w:r>
      <w:r>
        <w:rPr>
          <w:rFonts w:ascii="宋体" w:hAnsi="宋体" w:hint="eastAsia"/>
          <w:sz w:val="32"/>
          <w:szCs w:val="32"/>
        </w:rPr>
        <w:t>-</w:t>
      </w:r>
      <w:r>
        <w:rPr>
          <w:rFonts w:hint="eastAsia"/>
          <w:sz w:val="32"/>
          <w:szCs w:val="32"/>
        </w:rPr>
        <w:t>2011</w:t>
      </w:r>
      <w:r>
        <w:rPr>
          <w:rFonts w:hint="eastAsia"/>
          <w:sz w:val="32"/>
          <w:szCs w:val="32"/>
        </w:rPr>
        <w:t>）对</w:t>
      </w:r>
      <w:r>
        <w:rPr>
          <w:rFonts w:ascii="宋体" w:hAnsi="宋体" w:hint="eastAsia"/>
          <w:sz w:val="32"/>
          <w:szCs w:val="32"/>
        </w:rPr>
        <w:t>行业的划分，根据不同行业的工伤风险程度，由低到高，依次将参保单位划分为一类至八类（详见附件）。</w:t>
      </w:r>
    </w:p>
    <w:p w:rsidR="005149C3" w:rsidRPr="003742E5" w:rsidRDefault="005149C3" w:rsidP="005149C3">
      <w:pPr>
        <w:rPr>
          <w:rFonts w:ascii="黑体" w:eastAsia="黑体" w:hAnsi="黑体" w:hint="eastAsia"/>
          <w:sz w:val="32"/>
          <w:szCs w:val="32"/>
        </w:rPr>
      </w:pPr>
      <w:r w:rsidRPr="003742E5">
        <w:rPr>
          <w:rFonts w:ascii="黑体" w:eastAsia="黑体" w:hAnsi="黑体" w:hint="eastAsia"/>
          <w:sz w:val="32"/>
          <w:szCs w:val="32"/>
        </w:rPr>
        <w:t xml:space="preserve">    </w:t>
      </w:r>
      <w:r>
        <w:rPr>
          <w:rFonts w:ascii="黑体" w:eastAsia="黑体" w:hAnsi="黑体" w:hint="eastAsia"/>
          <w:sz w:val="32"/>
          <w:szCs w:val="32"/>
        </w:rPr>
        <w:t>二、调整行业差别基准</w:t>
      </w:r>
      <w:r w:rsidRPr="003742E5">
        <w:rPr>
          <w:rFonts w:ascii="黑体" w:eastAsia="黑体" w:hAnsi="黑体" w:hint="eastAsia"/>
          <w:sz w:val="32"/>
          <w:szCs w:val="32"/>
        </w:rPr>
        <w:t>费率标准</w:t>
      </w:r>
    </w:p>
    <w:p w:rsidR="005149C3" w:rsidRDefault="005149C3" w:rsidP="005149C3">
      <w:pPr>
        <w:rPr>
          <w:rFonts w:ascii="宋体" w:hAnsi="宋体" w:hint="eastAsia"/>
          <w:sz w:val="32"/>
          <w:szCs w:val="32"/>
        </w:rPr>
      </w:pPr>
      <w:r>
        <w:rPr>
          <w:rFonts w:ascii="宋体" w:hAnsi="宋体" w:hint="eastAsia"/>
          <w:sz w:val="32"/>
          <w:szCs w:val="32"/>
        </w:rPr>
        <w:t xml:space="preserve">    按照调整后的行业工伤风险类别划分，不同风险行业执行不同的工伤保险基准费率。一类至八类行业对应的工伤保</w:t>
      </w:r>
      <w:r>
        <w:rPr>
          <w:rFonts w:ascii="宋体" w:hAnsi="宋体" w:hint="eastAsia"/>
          <w:sz w:val="32"/>
          <w:szCs w:val="32"/>
        </w:rPr>
        <w:lastRenderedPageBreak/>
        <w:t>险基准费率分别为用人单位职工工资总额的0.2%、0.4%、0.7%、0.9%、1.1%、1.3%、1.6%、1.9%。工伤保险行业基准费率按照以支定收，收支平衡的原则，根据我市工伤发生率及工伤保险基金使用等情况，报请市政府批准后适时调整。</w:t>
      </w:r>
    </w:p>
    <w:p w:rsidR="005149C3" w:rsidRPr="000102F0" w:rsidRDefault="005149C3" w:rsidP="005149C3">
      <w:pPr>
        <w:rPr>
          <w:rFonts w:ascii="黑体" w:eastAsia="黑体" w:hAnsi="黑体" w:hint="eastAsia"/>
          <w:sz w:val="32"/>
          <w:szCs w:val="32"/>
        </w:rPr>
      </w:pPr>
      <w:r w:rsidRPr="000102F0">
        <w:rPr>
          <w:rFonts w:ascii="黑体" w:eastAsia="黑体" w:hAnsi="黑体" w:hint="eastAsia"/>
          <w:sz w:val="32"/>
          <w:szCs w:val="32"/>
        </w:rPr>
        <w:t xml:space="preserve">    三、调整行业费率浮动标准</w:t>
      </w:r>
    </w:p>
    <w:p w:rsidR="005149C3" w:rsidRDefault="005149C3" w:rsidP="005149C3">
      <w:pPr>
        <w:rPr>
          <w:rFonts w:ascii="宋体" w:hAnsi="宋体" w:hint="eastAsia"/>
          <w:sz w:val="32"/>
          <w:szCs w:val="32"/>
        </w:rPr>
      </w:pPr>
      <w:r>
        <w:rPr>
          <w:rFonts w:ascii="宋体" w:hAnsi="宋体" w:hint="eastAsia"/>
          <w:sz w:val="32"/>
          <w:szCs w:val="32"/>
        </w:rPr>
        <w:t xml:space="preserve">    各类行业在基准费率基础上，按照国家规定设定浮动费率档次。一类行业分为三个档次，即在基准费率的基础上，可向上浮动至120%、150%，二类至八类行业各设五个档次，即在基准费率的基础上，可分别向上浮动至120%、150%或向下浮动至80%、50%。具体浮动办法另行制定。</w:t>
      </w:r>
    </w:p>
    <w:p w:rsidR="005149C3" w:rsidRDefault="005149C3" w:rsidP="005149C3">
      <w:pPr>
        <w:rPr>
          <w:rFonts w:ascii="宋体" w:hAnsi="宋体" w:hint="eastAsia"/>
          <w:sz w:val="32"/>
          <w:szCs w:val="32"/>
        </w:rPr>
      </w:pPr>
      <w:r>
        <w:rPr>
          <w:rFonts w:ascii="宋体" w:hAnsi="宋体" w:hint="eastAsia"/>
          <w:sz w:val="32"/>
          <w:szCs w:val="32"/>
        </w:rPr>
        <w:t xml:space="preserve">    工伤保险最低费率不得低于本市一类行业基准费率。</w:t>
      </w:r>
    </w:p>
    <w:p w:rsidR="005149C3" w:rsidRPr="003742E5" w:rsidRDefault="005149C3" w:rsidP="005149C3">
      <w:pPr>
        <w:rPr>
          <w:rFonts w:ascii="黑体" w:eastAsia="黑体" w:hAnsi="黑体" w:hint="eastAsia"/>
          <w:sz w:val="32"/>
          <w:szCs w:val="32"/>
        </w:rPr>
      </w:pPr>
      <w:r w:rsidRPr="003742E5">
        <w:rPr>
          <w:rFonts w:ascii="黑体" w:eastAsia="黑体" w:hAnsi="黑体" w:hint="eastAsia"/>
          <w:sz w:val="32"/>
          <w:szCs w:val="32"/>
        </w:rPr>
        <w:t xml:space="preserve">    </w:t>
      </w:r>
      <w:r>
        <w:rPr>
          <w:rFonts w:ascii="黑体" w:eastAsia="黑体" w:hAnsi="黑体" w:hint="eastAsia"/>
          <w:sz w:val="32"/>
          <w:szCs w:val="32"/>
        </w:rPr>
        <w:t>四</w:t>
      </w:r>
      <w:r w:rsidRPr="003742E5">
        <w:rPr>
          <w:rFonts w:ascii="黑体" w:eastAsia="黑体" w:hAnsi="黑体" w:hint="eastAsia"/>
          <w:sz w:val="32"/>
          <w:szCs w:val="32"/>
        </w:rPr>
        <w:t>、</w:t>
      </w:r>
      <w:r>
        <w:rPr>
          <w:rFonts w:ascii="黑体" w:eastAsia="黑体" w:hAnsi="黑体" w:hint="eastAsia"/>
          <w:sz w:val="32"/>
          <w:szCs w:val="32"/>
        </w:rPr>
        <w:t>部分</w:t>
      </w:r>
      <w:r w:rsidRPr="003742E5">
        <w:rPr>
          <w:rFonts w:ascii="黑体" w:eastAsia="黑体" w:hAnsi="黑体" w:hint="eastAsia"/>
          <w:sz w:val="32"/>
          <w:szCs w:val="32"/>
        </w:rPr>
        <w:t>用人单位工伤保险费率的确定</w:t>
      </w:r>
    </w:p>
    <w:p w:rsidR="005149C3" w:rsidRDefault="005149C3" w:rsidP="005149C3">
      <w:pPr>
        <w:rPr>
          <w:rFonts w:ascii="宋体" w:hAnsi="宋体" w:hint="eastAsia"/>
          <w:sz w:val="32"/>
          <w:szCs w:val="32"/>
        </w:rPr>
      </w:pPr>
      <w:r>
        <w:rPr>
          <w:rFonts w:ascii="宋体" w:hAnsi="宋体" w:hint="eastAsia"/>
          <w:sz w:val="32"/>
          <w:szCs w:val="32"/>
        </w:rPr>
        <w:t xml:space="preserve">    用人单位经营范围涉及多个行业类别的，根据其主要经营生产业务确定其行业类别。</w:t>
      </w:r>
    </w:p>
    <w:p w:rsidR="005149C3" w:rsidRPr="008B0E4A" w:rsidRDefault="005149C3" w:rsidP="005149C3">
      <w:pPr>
        <w:rPr>
          <w:rFonts w:ascii="宋体" w:hAnsi="宋体" w:hint="eastAsia"/>
          <w:sz w:val="32"/>
          <w:szCs w:val="32"/>
        </w:rPr>
      </w:pPr>
      <w:r>
        <w:rPr>
          <w:rFonts w:ascii="宋体" w:hAnsi="宋体" w:hint="eastAsia"/>
          <w:sz w:val="32"/>
          <w:szCs w:val="32"/>
        </w:rPr>
        <w:t xml:space="preserve">    用人单位无对应行业类别的，根据其纳税登记的行业类别确定相应的工伤保险行业类别。</w:t>
      </w:r>
    </w:p>
    <w:p w:rsidR="005149C3" w:rsidRDefault="005149C3" w:rsidP="005149C3">
      <w:pPr>
        <w:rPr>
          <w:rFonts w:ascii="宋体" w:hAnsi="宋体" w:hint="eastAsia"/>
          <w:sz w:val="32"/>
          <w:szCs w:val="32"/>
        </w:rPr>
      </w:pPr>
      <w:r>
        <w:rPr>
          <w:rFonts w:ascii="宋体" w:hAnsi="宋体" w:hint="eastAsia"/>
          <w:sz w:val="32"/>
          <w:szCs w:val="32"/>
        </w:rPr>
        <w:t xml:space="preserve">    已依法取得人力资源和社会保障行政部门颁发的劳务派遣经营许可证的劳务派遣机构，统一按第三类行业费率标准执行；定向行业派遣的，按照实际用工单位所属行业确定其行业类别。</w:t>
      </w:r>
    </w:p>
    <w:p w:rsidR="005149C3" w:rsidRPr="00817BB6" w:rsidRDefault="005149C3" w:rsidP="005149C3">
      <w:pPr>
        <w:rPr>
          <w:rFonts w:ascii="宋体" w:hAnsi="宋体" w:hint="eastAsia"/>
          <w:sz w:val="32"/>
          <w:szCs w:val="32"/>
        </w:rPr>
      </w:pPr>
      <w:r>
        <w:rPr>
          <w:rFonts w:ascii="宋体" w:hAnsi="宋体" w:hint="eastAsia"/>
          <w:sz w:val="32"/>
          <w:szCs w:val="32"/>
        </w:rPr>
        <w:t xml:space="preserve">    用人单位因登记注册内容及主要经营生产业务发生变更的，受理变更登记部门当及时向社保经办机构发送相关变</w:t>
      </w:r>
      <w:r>
        <w:rPr>
          <w:rFonts w:ascii="宋体" w:hAnsi="宋体" w:hint="eastAsia"/>
          <w:sz w:val="32"/>
          <w:szCs w:val="32"/>
        </w:rPr>
        <w:lastRenderedPageBreak/>
        <w:t>更信息，社保经办机构从变更登记的次月起调整其工伤保险费率。</w:t>
      </w:r>
    </w:p>
    <w:p w:rsidR="005149C3" w:rsidRPr="003742E5" w:rsidRDefault="005149C3" w:rsidP="005149C3">
      <w:pPr>
        <w:rPr>
          <w:rFonts w:ascii="黑体" w:eastAsia="黑体" w:hAnsi="黑体" w:hint="eastAsia"/>
          <w:sz w:val="32"/>
          <w:szCs w:val="32"/>
        </w:rPr>
      </w:pPr>
      <w:r w:rsidRPr="003742E5">
        <w:rPr>
          <w:rFonts w:ascii="黑体" w:eastAsia="黑体" w:hAnsi="黑体" w:hint="eastAsia"/>
          <w:sz w:val="32"/>
          <w:szCs w:val="32"/>
        </w:rPr>
        <w:t xml:space="preserve">    </w:t>
      </w:r>
      <w:r>
        <w:rPr>
          <w:rFonts w:ascii="黑体" w:eastAsia="黑体" w:hAnsi="黑体" w:hint="eastAsia"/>
          <w:sz w:val="32"/>
          <w:szCs w:val="32"/>
        </w:rPr>
        <w:t>五</w:t>
      </w:r>
      <w:r w:rsidRPr="003742E5">
        <w:rPr>
          <w:rFonts w:ascii="黑体" w:eastAsia="黑体" w:hAnsi="黑体" w:hint="eastAsia"/>
          <w:sz w:val="32"/>
          <w:szCs w:val="32"/>
        </w:rPr>
        <w:t>、其它</w:t>
      </w:r>
    </w:p>
    <w:p w:rsidR="005149C3" w:rsidRDefault="005149C3" w:rsidP="005149C3">
      <w:pPr>
        <w:rPr>
          <w:rFonts w:ascii="宋体" w:hAnsi="宋体" w:hint="eastAsia"/>
          <w:sz w:val="32"/>
          <w:szCs w:val="32"/>
        </w:rPr>
      </w:pPr>
      <w:r>
        <w:rPr>
          <w:rFonts w:ascii="宋体" w:hAnsi="宋体" w:hint="eastAsia"/>
          <w:sz w:val="32"/>
          <w:szCs w:val="32"/>
        </w:rPr>
        <w:t xml:space="preserve">    本通知自2019年 10月1日起执行，初次登记参加工伤保险的用人单位按其所属行业基准费率执行。鉴于阶段性降低费率因素，2019年9月30日前已参加工伤保险的用人单位，2020年4月30日前，其工伤保险费率仍按现行费率执行，2020年5月1日起，由市社保经办机构按照本通知进行调整。</w:t>
      </w:r>
    </w:p>
    <w:p w:rsidR="005149C3" w:rsidRDefault="005149C3" w:rsidP="005149C3">
      <w:pPr>
        <w:rPr>
          <w:rFonts w:ascii="宋体" w:hAnsi="宋体" w:hint="eastAsia"/>
          <w:sz w:val="32"/>
          <w:szCs w:val="32"/>
        </w:rPr>
      </w:pPr>
      <w:r>
        <w:rPr>
          <w:rFonts w:ascii="宋体" w:hAnsi="宋体" w:hint="eastAsia"/>
          <w:sz w:val="32"/>
          <w:szCs w:val="32"/>
        </w:rPr>
        <w:t xml:space="preserve">    各县（市）按本通知做好本区域用人单位工伤保险行业分类调整，全市执行统一的行业基准费率。</w:t>
      </w:r>
    </w:p>
    <w:p w:rsidR="005149C3" w:rsidRDefault="005149C3" w:rsidP="005149C3">
      <w:pPr>
        <w:rPr>
          <w:rFonts w:ascii="宋体" w:hAnsi="宋体" w:hint="eastAsia"/>
          <w:sz w:val="32"/>
          <w:szCs w:val="32"/>
        </w:rPr>
      </w:pPr>
    </w:p>
    <w:p w:rsidR="005149C3" w:rsidRDefault="005149C3" w:rsidP="005149C3">
      <w:pPr>
        <w:rPr>
          <w:rFonts w:ascii="宋体" w:hAnsi="宋体" w:hint="eastAsia"/>
          <w:sz w:val="32"/>
          <w:szCs w:val="32"/>
        </w:rPr>
      </w:pPr>
    </w:p>
    <w:p w:rsidR="005149C3" w:rsidRDefault="005149C3" w:rsidP="005149C3">
      <w:pPr>
        <w:rPr>
          <w:rFonts w:ascii="宋体" w:hAnsi="宋体" w:hint="eastAsia"/>
          <w:sz w:val="32"/>
          <w:szCs w:val="32"/>
        </w:rPr>
      </w:pPr>
      <w:r>
        <w:rPr>
          <w:rFonts w:ascii="宋体" w:hAnsi="宋体" w:hint="eastAsia"/>
          <w:sz w:val="32"/>
          <w:szCs w:val="32"/>
        </w:rPr>
        <w:t xml:space="preserve">    附件：杭州市工伤保险行业风险分类及基准费率表</w:t>
      </w:r>
    </w:p>
    <w:p w:rsidR="005149C3" w:rsidRDefault="005149C3" w:rsidP="005149C3">
      <w:pPr>
        <w:rPr>
          <w:rFonts w:ascii="宋体" w:hAnsi="宋体" w:hint="eastAsia"/>
          <w:sz w:val="32"/>
          <w:szCs w:val="32"/>
        </w:rPr>
      </w:pPr>
      <w:r>
        <w:rPr>
          <w:rFonts w:ascii="宋体" w:hAnsi="宋体" w:hint="eastAsia"/>
          <w:sz w:val="32"/>
          <w:szCs w:val="32"/>
        </w:rPr>
        <w:t xml:space="preserve">                               </w:t>
      </w:r>
    </w:p>
    <w:p w:rsidR="005149C3" w:rsidRDefault="005149C3" w:rsidP="005149C3">
      <w:pPr>
        <w:rPr>
          <w:rFonts w:ascii="宋体" w:hAnsi="宋体" w:hint="eastAsia"/>
          <w:sz w:val="32"/>
          <w:szCs w:val="32"/>
        </w:rPr>
      </w:pPr>
      <w:r>
        <w:rPr>
          <w:rFonts w:ascii="宋体" w:hAnsi="宋体" w:hint="eastAsia"/>
          <w:sz w:val="32"/>
          <w:szCs w:val="32"/>
        </w:rPr>
        <w:t xml:space="preserve">                                杭州市人力社保局</w:t>
      </w:r>
    </w:p>
    <w:p w:rsidR="005149C3" w:rsidRDefault="005149C3" w:rsidP="005149C3">
      <w:pPr>
        <w:rPr>
          <w:rFonts w:ascii="宋体" w:hAnsi="宋体" w:hint="eastAsia"/>
          <w:sz w:val="32"/>
          <w:szCs w:val="32"/>
        </w:rPr>
      </w:pPr>
      <w:r>
        <w:rPr>
          <w:rFonts w:ascii="宋体" w:hAnsi="宋体" w:hint="eastAsia"/>
          <w:sz w:val="32"/>
          <w:szCs w:val="32"/>
        </w:rPr>
        <w:t xml:space="preserve">                                杭州市财政局</w:t>
      </w:r>
    </w:p>
    <w:p w:rsidR="005149C3" w:rsidRDefault="005149C3" w:rsidP="005149C3">
      <w:pPr>
        <w:rPr>
          <w:rFonts w:ascii="宋体" w:hAnsi="宋体" w:hint="eastAsia"/>
          <w:sz w:val="32"/>
          <w:szCs w:val="32"/>
        </w:rPr>
      </w:pPr>
    </w:p>
    <w:p w:rsidR="005149C3" w:rsidRDefault="005149C3" w:rsidP="005149C3">
      <w:pPr>
        <w:rPr>
          <w:rFonts w:ascii="宋体" w:hAnsi="宋体" w:hint="eastAsia"/>
          <w:sz w:val="32"/>
          <w:szCs w:val="32"/>
        </w:rPr>
      </w:pPr>
    </w:p>
    <w:p w:rsidR="005149C3" w:rsidRDefault="005149C3" w:rsidP="005149C3">
      <w:pPr>
        <w:rPr>
          <w:rFonts w:ascii="宋体" w:hAnsi="宋体" w:hint="eastAsia"/>
          <w:sz w:val="32"/>
          <w:szCs w:val="32"/>
        </w:rPr>
      </w:pPr>
      <w:r>
        <w:rPr>
          <w:rFonts w:ascii="宋体" w:hAnsi="宋体" w:hint="eastAsia"/>
          <w:sz w:val="32"/>
          <w:szCs w:val="32"/>
        </w:rPr>
        <w:t xml:space="preserve">                               2019年  月  日</w:t>
      </w:r>
    </w:p>
    <w:p w:rsidR="005149C3" w:rsidRDefault="005149C3" w:rsidP="005149C3">
      <w:pPr>
        <w:rPr>
          <w:rFonts w:ascii="宋体" w:hAnsi="宋体" w:hint="eastAsia"/>
          <w:sz w:val="32"/>
          <w:szCs w:val="32"/>
        </w:rPr>
      </w:pPr>
    </w:p>
    <w:p w:rsidR="005149C3" w:rsidRDefault="005149C3" w:rsidP="005149C3">
      <w:pPr>
        <w:rPr>
          <w:rFonts w:ascii="宋体" w:hAnsi="宋体" w:hint="eastAsia"/>
          <w:sz w:val="32"/>
          <w:szCs w:val="32"/>
        </w:rPr>
      </w:pPr>
    </w:p>
    <w:p w:rsidR="005149C3" w:rsidRDefault="005149C3" w:rsidP="005149C3">
      <w:pPr>
        <w:rPr>
          <w:rFonts w:ascii="宋体" w:hAnsi="宋体" w:hint="eastAsia"/>
          <w:sz w:val="32"/>
          <w:szCs w:val="32"/>
        </w:rPr>
      </w:pPr>
    </w:p>
    <w:p w:rsidR="005149C3" w:rsidRDefault="005149C3" w:rsidP="005149C3">
      <w:pPr>
        <w:widowControl/>
        <w:rPr>
          <w:rFonts w:ascii="Times New Roman" w:eastAsia="黑体" w:hAnsi="Times New Roman" w:hint="eastAsia"/>
          <w:sz w:val="32"/>
          <w:szCs w:val="32"/>
        </w:rPr>
      </w:pPr>
      <w:r w:rsidRPr="00953405">
        <w:rPr>
          <w:rFonts w:ascii="Times New Roman" w:eastAsia="黑体" w:hAnsi="Times New Roman"/>
          <w:sz w:val="32"/>
          <w:szCs w:val="32"/>
        </w:rPr>
        <w:t>附</w:t>
      </w:r>
      <w:r>
        <w:rPr>
          <w:rFonts w:ascii="Times New Roman" w:eastAsia="黑体" w:hAnsi="Times New Roman" w:hint="eastAsia"/>
          <w:sz w:val="32"/>
          <w:szCs w:val="32"/>
        </w:rPr>
        <w:t>件</w:t>
      </w:r>
    </w:p>
    <w:p w:rsidR="005149C3" w:rsidRPr="00953405" w:rsidRDefault="005149C3" w:rsidP="005149C3">
      <w:pPr>
        <w:widowControl/>
        <w:rPr>
          <w:rFonts w:ascii="Times New Roman" w:eastAsia="方正小标宋简体" w:hAnsi="Times New Roman"/>
          <w:bCs/>
          <w:sz w:val="32"/>
          <w:szCs w:val="32"/>
        </w:rPr>
      </w:pPr>
    </w:p>
    <w:p w:rsidR="005149C3" w:rsidRDefault="005149C3" w:rsidP="005149C3">
      <w:pPr>
        <w:widowControl/>
        <w:jc w:val="center"/>
        <w:rPr>
          <w:rFonts w:ascii="Times New Roman" w:eastAsia="方正小标宋简体" w:hAnsi="Times New Roman" w:hint="eastAsia"/>
          <w:bCs/>
          <w:sz w:val="32"/>
          <w:szCs w:val="32"/>
        </w:rPr>
      </w:pPr>
      <w:r w:rsidRPr="00953405">
        <w:rPr>
          <w:rFonts w:ascii="Times New Roman" w:eastAsia="方正小标宋简体" w:hAnsi="Times New Roman" w:hint="eastAsia"/>
          <w:bCs/>
          <w:sz w:val="32"/>
          <w:szCs w:val="32"/>
        </w:rPr>
        <w:t>杭州</w:t>
      </w:r>
      <w:r w:rsidRPr="00953405">
        <w:rPr>
          <w:rFonts w:ascii="Times New Roman" w:eastAsia="方正小标宋简体" w:hAnsi="Times New Roman"/>
          <w:bCs/>
          <w:sz w:val="32"/>
          <w:szCs w:val="32"/>
        </w:rPr>
        <w:t>市工伤保险行业风险分类及基准费率表</w:t>
      </w:r>
    </w:p>
    <w:p w:rsidR="005149C3" w:rsidRPr="00953405" w:rsidRDefault="005149C3" w:rsidP="005149C3">
      <w:pPr>
        <w:widowControl/>
        <w:jc w:val="center"/>
        <w:rPr>
          <w:rFonts w:ascii="Times New Roman" w:eastAsia="方正小标宋简体" w:hAnsi="Times New Roman"/>
          <w:bCs/>
          <w:sz w:val="32"/>
          <w:szCs w:val="32"/>
        </w:rPr>
      </w:pPr>
    </w:p>
    <w:tbl>
      <w:tblPr>
        <w:tblW w:w="8271" w:type="dxa"/>
        <w:jc w:val="center"/>
        <w:tblLayout w:type="fixed"/>
        <w:tblLook w:val="0000" w:firstRow="0" w:lastRow="0" w:firstColumn="0" w:lastColumn="0" w:noHBand="0" w:noVBand="0"/>
      </w:tblPr>
      <w:tblGrid>
        <w:gridCol w:w="838"/>
        <w:gridCol w:w="6157"/>
        <w:gridCol w:w="1276"/>
      </w:tblGrid>
      <w:tr w:rsidR="005149C3" w:rsidRPr="008F5F81" w:rsidTr="00E71B31">
        <w:trPr>
          <w:trHeight w:val="668"/>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149C3" w:rsidRPr="008F5F81" w:rsidRDefault="005149C3" w:rsidP="00E71B31">
            <w:pPr>
              <w:widowControl/>
              <w:spacing w:line="400" w:lineRule="exact"/>
              <w:jc w:val="center"/>
              <w:rPr>
                <w:rFonts w:ascii="Times New Roman" w:hAnsi="Times New Roman"/>
                <w:b/>
                <w:sz w:val="24"/>
              </w:rPr>
            </w:pPr>
            <w:r w:rsidRPr="008F5F81">
              <w:rPr>
                <w:rFonts w:ascii="Times New Roman" w:hAnsi="Times New Roman"/>
                <w:b/>
                <w:sz w:val="24"/>
              </w:rPr>
              <w:t>行业</w:t>
            </w:r>
          </w:p>
          <w:p w:rsidR="005149C3" w:rsidRPr="008F5F81" w:rsidRDefault="005149C3" w:rsidP="00E71B31">
            <w:pPr>
              <w:widowControl/>
              <w:spacing w:line="400" w:lineRule="exact"/>
              <w:jc w:val="center"/>
              <w:rPr>
                <w:rFonts w:ascii="Times New Roman" w:hAnsi="Times New Roman"/>
                <w:b/>
                <w:sz w:val="24"/>
              </w:rPr>
            </w:pPr>
            <w:r w:rsidRPr="008F5F81">
              <w:rPr>
                <w:rFonts w:ascii="Times New Roman" w:hAnsi="Times New Roman"/>
                <w:b/>
                <w:sz w:val="24"/>
              </w:rPr>
              <w:t>类别</w:t>
            </w:r>
          </w:p>
        </w:tc>
        <w:tc>
          <w:tcPr>
            <w:tcW w:w="6157" w:type="dxa"/>
            <w:tcBorders>
              <w:top w:val="single" w:sz="4" w:space="0" w:color="000000"/>
              <w:left w:val="nil"/>
              <w:bottom w:val="single" w:sz="4" w:space="0" w:color="000000"/>
              <w:right w:val="single" w:sz="4" w:space="0" w:color="000000"/>
            </w:tcBorders>
            <w:vAlign w:val="center"/>
          </w:tcPr>
          <w:p w:rsidR="005149C3" w:rsidRPr="008F5F81" w:rsidRDefault="005149C3" w:rsidP="00E71B31">
            <w:pPr>
              <w:widowControl/>
              <w:spacing w:line="400" w:lineRule="exact"/>
              <w:jc w:val="center"/>
              <w:rPr>
                <w:rFonts w:ascii="Times New Roman" w:hAnsi="Times New Roman"/>
                <w:b/>
                <w:sz w:val="24"/>
              </w:rPr>
            </w:pPr>
            <w:r w:rsidRPr="008F5F81">
              <w:rPr>
                <w:rFonts w:ascii="Times New Roman" w:hAnsi="Times New Roman"/>
                <w:b/>
                <w:sz w:val="24"/>
              </w:rPr>
              <w:t>行业名称</w:t>
            </w:r>
          </w:p>
        </w:tc>
        <w:tc>
          <w:tcPr>
            <w:tcW w:w="1276" w:type="dxa"/>
            <w:tcBorders>
              <w:top w:val="single" w:sz="4" w:space="0" w:color="auto"/>
              <w:bottom w:val="single" w:sz="4" w:space="0" w:color="auto"/>
              <w:right w:val="single" w:sz="4" w:space="0" w:color="auto"/>
            </w:tcBorders>
            <w:shd w:val="clear" w:color="auto" w:fill="auto"/>
            <w:vAlign w:val="center"/>
          </w:tcPr>
          <w:p w:rsidR="005149C3" w:rsidRPr="008F5F81" w:rsidRDefault="005149C3" w:rsidP="00E71B31">
            <w:pPr>
              <w:widowControl/>
              <w:spacing w:line="400" w:lineRule="exact"/>
              <w:jc w:val="center"/>
              <w:rPr>
                <w:rFonts w:ascii="Times New Roman" w:hAnsi="Times New Roman"/>
                <w:b/>
                <w:sz w:val="24"/>
              </w:rPr>
            </w:pPr>
            <w:r w:rsidRPr="008F5F81">
              <w:rPr>
                <w:rFonts w:ascii="Times New Roman" w:hAnsi="Times New Roman"/>
                <w:b/>
                <w:sz w:val="24"/>
              </w:rPr>
              <w:t>基准</w:t>
            </w:r>
          </w:p>
          <w:p w:rsidR="005149C3" w:rsidRPr="008F5F81" w:rsidRDefault="005149C3" w:rsidP="00E71B31">
            <w:pPr>
              <w:widowControl/>
              <w:spacing w:line="400" w:lineRule="exact"/>
              <w:jc w:val="center"/>
              <w:rPr>
                <w:rFonts w:ascii="Times New Roman" w:hAnsi="Times New Roman"/>
                <w:b/>
                <w:sz w:val="24"/>
              </w:rPr>
            </w:pPr>
            <w:r w:rsidRPr="008F5F81">
              <w:rPr>
                <w:rFonts w:ascii="Times New Roman" w:hAnsi="Times New Roman"/>
                <w:b/>
                <w:sz w:val="24"/>
              </w:rPr>
              <w:t>费率</w:t>
            </w:r>
          </w:p>
        </w:tc>
      </w:tr>
      <w:tr w:rsidR="005149C3" w:rsidRPr="008F5F81" w:rsidTr="00E71B31">
        <w:trPr>
          <w:trHeight w:val="1491"/>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149C3" w:rsidRPr="008F5F81" w:rsidRDefault="005149C3" w:rsidP="00E71B31">
            <w:pPr>
              <w:widowControl/>
              <w:spacing w:line="400" w:lineRule="exact"/>
              <w:jc w:val="center"/>
              <w:rPr>
                <w:rFonts w:ascii="Times New Roman" w:eastAsia="仿宋_GB2312" w:hAnsi="Times New Roman"/>
                <w:sz w:val="24"/>
              </w:rPr>
            </w:pPr>
            <w:proofErr w:type="gramStart"/>
            <w:r w:rsidRPr="008F5F81">
              <w:rPr>
                <w:rFonts w:ascii="Times New Roman" w:eastAsia="仿宋_GB2312" w:hAnsi="Times New Roman"/>
                <w:sz w:val="24"/>
              </w:rPr>
              <w:t>一</w:t>
            </w:r>
            <w:proofErr w:type="gramEnd"/>
          </w:p>
        </w:tc>
        <w:tc>
          <w:tcPr>
            <w:tcW w:w="6157" w:type="dxa"/>
            <w:tcBorders>
              <w:top w:val="single" w:sz="4" w:space="0" w:color="000000"/>
              <w:left w:val="nil"/>
              <w:bottom w:val="single" w:sz="4" w:space="0" w:color="000000"/>
              <w:right w:val="single" w:sz="4" w:space="0" w:color="000000"/>
            </w:tcBorders>
          </w:tcPr>
          <w:p w:rsidR="005149C3" w:rsidRPr="008F5F81" w:rsidRDefault="005149C3" w:rsidP="00E71B31">
            <w:pPr>
              <w:widowControl/>
              <w:spacing w:line="400" w:lineRule="exact"/>
              <w:rPr>
                <w:rFonts w:ascii="Times New Roman" w:eastAsia="仿宋_GB2312" w:hAnsi="Times New Roman"/>
                <w:sz w:val="24"/>
              </w:rPr>
            </w:pPr>
            <w:r w:rsidRPr="008F5F81">
              <w:rPr>
                <w:rFonts w:ascii="Times New Roman" w:eastAsia="仿宋_GB2312" w:hAnsi="Times New Roman"/>
                <w:sz w:val="24"/>
              </w:rPr>
              <w:t>软件和信息技术服务业，货币金融服务，资本市场服务，保险业，其他金融业，科技推广和应用服务业，社会工作，广播、电视、电影和影视录音制作业，中国共产党机关，国家机构，人民政协、民主党派，社会保障，群众团体、社会团体和其他成员组织，基层群众自治组织，国际组织</w:t>
            </w:r>
          </w:p>
        </w:tc>
        <w:tc>
          <w:tcPr>
            <w:tcW w:w="1276" w:type="dxa"/>
            <w:tcBorders>
              <w:top w:val="single" w:sz="4" w:space="0" w:color="auto"/>
              <w:bottom w:val="single" w:sz="4" w:space="0" w:color="auto"/>
              <w:right w:val="single" w:sz="4" w:space="0" w:color="auto"/>
            </w:tcBorders>
            <w:shd w:val="clear" w:color="auto" w:fill="auto"/>
            <w:vAlign w:val="center"/>
          </w:tcPr>
          <w:p w:rsidR="005149C3" w:rsidRPr="008F5F81" w:rsidRDefault="005149C3" w:rsidP="00E71B31">
            <w:pPr>
              <w:widowControl/>
              <w:spacing w:line="400" w:lineRule="exact"/>
              <w:jc w:val="center"/>
              <w:rPr>
                <w:rFonts w:ascii="Times New Roman" w:eastAsia="仿宋_GB2312" w:hAnsi="Times New Roman"/>
                <w:sz w:val="24"/>
              </w:rPr>
            </w:pPr>
            <w:r w:rsidRPr="008F5F81">
              <w:rPr>
                <w:rFonts w:ascii="Times New Roman" w:eastAsia="仿宋_GB2312" w:hAnsi="Times New Roman"/>
                <w:sz w:val="24"/>
              </w:rPr>
              <w:t>0.2%</w:t>
            </w:r>
          </w:p>
        </w:tc>
      </w:tr>
      <w:tr w:rsidR="005149C3" w:rsidRPr="008F5F81" w:rsidTr="00E71B31">
        <w:trPr>
          <w:trHeight w:val="1425"/>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149C3" w:rsidRPr="008F5F81" w:rsidRDefault="005149C3" w:rsidP="00E71B31">
            <w:pPr>
              <w:widowControl/>
              <w:spacing w:line="400" w:lineRule="exact"/>
              <w:jc w:val="center"/>
              <w:rPr>
                <w:rFonts w:ascii="Times New Roman" w:eastAsia="仿宋_GB2312" w:hAnsi="Times New Roman"/>
                <w:sz w:val="24"/>
              </w:rPr>
            </w:pPr>
            <w:r w:rsidRPr="008F5F81">
              <w:rPr>
                <w:rFonts w:ascii="Times New Roman" w:eastAsia="仿宋_GB2312" w:hAnsi="Times New Roman"/>
                <w:sz w:val="24"/>
              </w:rPr>
              <w:t>二</w:t>
            </w:r>
          </w:p>
        </w:tc>
        <w:tc>
          <w:tcPr>
            <w:tcW w:w="6157" w:type="dxa"/>
            <w:tcBorders>
              <w:top w:val="single" w:sz="4" w:space="0" w:color="000000"/>
              <w:left w:val="nil"/>
              <w:bottom w:val="single" w:sz="4" w:space="0" w:color="000000"/>
              <w:right w:val="single" w:sz="4" w:space="0" w:color="000000"/>
            </w:tcBorders>
          </w:tcPr>
          <w:p w:rsidR="005149C3" w:rsidRPr="008F5F81" w:rsidRDefault="005149C3" w:rsidP="00E71B31">
            <w:pPr>
              <w:widowControl/>
              <w:spacing w:line="400" w:lineRule="exact"/>
              <w:rPr>
                <w:rFonts w:ascii="Times New Roman" w:eastAsia="仿宋_GB2312" w:hAnsi="Times New Roman"/>
                <w:sz w:val="24"/>
              </w:rPr>
            </w:pPr>
            <w:r w:rsidRPr="008F5F81">
              <w:rPr>
                <w:rFonts w:ascii="Times New Roman" w:eastAsia="仿宋_GB2312" w:hAnsi="Times New Roman"/>
                <w:sz w:val="24"/>
              </w:rPr>
              <w:t>批发业，零售业，仓储业，邮政业，住宿业，餐饮业，电信、广播电视和卫星传输服务，互联网和相关服务，房地产业，租赁业，商务服务业，研究和试验发展，专业技术服务业，居民服务业，其他服务业，教育，卫生，新闻和出版业，文化艺术业</w:t>
            </w:r>
          </w:p>
        </w:tc>
        <w:tc>
          <w:tcPr>
            <w:tcW w:w="1276" w:type="dxa"/>
            <w:tcBorders>
              <w:top w:val="single" w:sz="4" w:space="0" w:color="auto"/>
              <w:bottom w:val="single" w:sz="4" w:space="0" w:color="auto"/>
              <w:right w:val="single" w:sz="4" w:space="0" w:color="auto"/>
            </w:tcBorders>
            <w:shd w:val="clear" w:color="auto" w:fill="auto"/>
            <w:vAlign w:val="center"/>
          </w:tcPr>
          <w:p w:rsidR="005149C3" w:rsidRPr="008F5F81" w:rsidRDefault="005149C3" w:rsidP="00E71B31">
            <w:pPr>
              <w:widowControl/>
              <w:spacing w:line="400" w:lineRule="exact"/>
              <w:jc w:val="center"/>
              <w:rPr>
                <w:rFonts w:ascii="Times New Roman" w:eastAsia="仿宋_GB2312" w:hAnsi="Times New Roman"/>
                <w:sz w:val="24"/>
              </w:rPr>
            </w:pPr>
            <w:r w:rsidRPr="008F5F81">
              <w:rPr>
                <w:rFonts w:ascii="Times New Roman" w:eastAsia="仿宋_GB2312" w:hAnsi="Times New Roman"/>
                <w:sz w:val="24"/>
              </w:rPr>
              <w:t>0.4%</w:t>
            </w:r>
          </w:p>
        </w:tc>
      </w:tr>
      <w:tr w:rsidR="005149C3" w:rsidRPr="008F5F81" w:rsidTr="00E71B31">
        <w:trPr>
          <w:trHeight w:val="1842"/>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149C3" w:rsidRPr="008F5F81" w:rsidRDefault="005149C3" w:rsidP="00E71B31">
            <w:pPr>
              <w:widowControl/>
              <w:spacing w:line="400" w:lineRule="exact"/>
              <w:jc w:val="center"/>
              <w:rPr>
                <w:rFonts w:ascii="Times New Roman" w:eastAsia="仿宋_GB2312" w:hAnsi="Times New Roman"/>
                <w:sz w:val="24"/>
              </w:rPr>
            </w:pPr>
            <w:r w:rsidRPr="008F5F81">
              <w:rPr>
                <w:rFonts w:ascii="Times New Roman" w:eastAsia="仿宋_GB2312" w:hAnsi="Times New Roman"/>
                <w:sz w:val="24"/>
              </w:rPr>
              <w:t>三</w:t>
            </w:r>
          </w:p>
        </w:tc>
        <w:tc>
          <w:tcPr>
            <w:tcW w:w="6157" w:type="dxa"/>
            <w:tcBorders>
              <w:top w:val="single" w:sz="4" w:space="0" w:color="000000"/>
              <w:left w:val="nil"/>
              <w:bottom w:val="single" w:sz="4" w:space="0" w:color="000000"/>
              <w:right w:val="single" w:sz="4" w:space="0" w:color="000000"/>
            </w:tcBorders>
          </w:tcPr>
          <w:p w:rsidR="005149C3" w:rsidRPr="008F5F81" w:rsidRDefault="005149C3" w:rsidP="00E71B31">
            <w:pPr>
              <w:widowControl/>
              <w:spacing w:line="400" w:lineRule="exact"/>
              <w:rPr>
                <w:rFonts w:ascii="Times New Roman" w:eastAsia="仿宋_GB2312" w:hAnsi="Times New Roman"/>
                <w:sz w:val="24"/>
              </w:rPr>
            </w:pPr>
            <w:r w:rsidRPr="008F5F81">
              <w:rPr>
                <w:rFonts w:ascii="Times New Roman" w:eastAsia="仿宋_GB2312" w:hAnsi="Times New Roman"/>
                <w:sz w:val="24"/>
              </w:rPr>
              <w:t>农副食品加工业，食品制造业，酒、饮料和精制茶制造业，烟草制品业</w:t>
            </w:r>
            <w:r w:rsidRPr="008F5F81">
              <w:rPr>
                <w:rFonts w:ascii="Times New Roman" w:eastAsia="仿宋_GB2312" w:hAnsi="Times New Roman"/>
                <w:sz w:val="24"/>
              </w:rPr>
              <w:t xml:space="preserve"> </w:t>
            </w:r>
            <w:r w:rsidRPr="008F5F81">
              <w:rPr>
                <w:rFonts w:ascii="Times New Roman" w:eastAsia="仿宋_GB2312" w:hAnsi="Times New Roman"/>
                <w:sz w:val="24"/>
              </w:rPr>
              <w:t>，纺织业，木材加工和</w:t>
            </w:r>
            <w:proofErr w:type="gramStart"/>
            <w:r w:rsidRPr="008F5F81">
              <w:rPr>
                <w:rFonts w:ascii="Times New Roman" w:eastAsia="仿宋_GB2312" w:hAnsi="Times New Roman"/>
                <w:sz w:val="24"/>
              </w:rPr>
              <w:t>木、</w:t>
            </w:r>
            <w:proofErr w:type="gramEnd"/>
            <w:r w:rsidRPr="008F5F81">
              <w:rPr>
                <w:rFonts w:ascii="Times New Roman" w:eastAsia="仿宋_GB2312" w:hAnsi="Times New Roman"/>
                <w:sz w:val="24"/>
              </w:rPr>
              <w:t>竹、藤、棕、草制品业，文教、工美、体育和娱乐用品制造业，计算机、通信和其他电子设备制造业，仪器仪表制造业，其他制造业，水的生产和供应业，机动车、电子产品和日用产品修理业，水利管理业，生态保护和环境治理业，公共设施管理业，娱乐业</w:t>
            </w:r>
          </w:p>
        </w:tc>
        <w:tc>
          <w:tcPr>
            <w:tcW w:w="1276" w:type="dxa"/>
            <w:tcBorders>
              <w:top w:val="single" w:sz="4" w:space="0" w:color="auto"/>
              <w:bottom w:val="single" w:sz="4" w:space="0" w:color="auto"/>
              <w:right w:val="single" w:sz="4" w:space="0" w:color="auto"/>
            </w:tcBorders>
            <w:shd w:val="clear" w:color="auto" w:fill="auto"/>
            <w:vAlign w:val="center"/>
          </w:tcPr>
          <w:p w:rsidR="005149C3" w:rsidRPr="008F5F81" w:rsidRDefault="005149C3" w:rsidP="00E71B31">
            <w:pPr>
              <w:widowControl/>
              <w:spacing w:line="400" w:lineRule="exact"/>
              <w:jc w:val="center"/>
              <w:rPr>
                <w:rFonts w:ascii="Times New Roman" w:eastAsia="仿宋_GB2312" w:hAnsi="Times New Roman"/>
                <w:sz w:val="24"/>
              </w:rPr>
            </w:pPr>
            <w:r w:rsidRPr="008F5F81">
              <w:rPr>
                <w:rFonts w:ascii="Times New Roman" w:eastAsia="仿宋_GB2312" w:hAnsi="Times New Roman"/>
                <w:sz w:val="24"/>
              </w:rPr>
              <w:t>0.7%</w:t>
            </w:r>
          </w:p>
        </w:tc>
      </w:tr>
      <w:tr w:rsidR="005149C3" w:rsidRPr="008F5F81" w:rsidTr="00E71B31">
        <w:trPr>
          <w:trHeight w:val="2601"/>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149C3" w:rsidRPr="008F5F81" w:rsidRDefault="005149C3" w:rsidP="00E71B31">
            <w:pPr>
              <w:widowControl/>
              <w:spacing w:line="400" w:lineRule="exact"/>
              <w:jc w:val="center"/>
              <w:rPr>
                <w:rFonts w:ascii="Times New Roman" w:eastAsia="仿宋_GB2312" w:hAnsi="Times New Roman"/>
                <w:sz w:val="24"/>
              </w:rPr>
            </w:pPr>
            <w:r w:rsidRPr="008F5F81">
              <w:rPr>
                <w:rFonts w:ascii="Times New Roman" w:eastAsia="仿宋_GB2312" w:hAnsi="Times New Roman"/>
                <w:sz w:val="24"/>
              </w:rPr>
              <w:t>四</w:t>
            </w:r>
          </w:p>
        </w:tc>
        <w:tc>
          <w:tcPr>
            <w:tcW w:w="6157" w:type="dxa"/>
            <w:tcBorders>
              <w:top w:val="single" w:sz="4" w:space="0" w:color="000000"/>
              <w:left w:val="nil"/>
              <w:bottom w:val="single" w:sz="4" w:space="0" w:color="000000"/>
              <w:right w:val="single" w:sz="4" w:space="0" w:color="000000"/>
            </w:tcBorders>
          </w:tcPr>
          <w:p w:rsidR="005149C3" w:rsidRPr="008F5F81" w:rsidRDefault="005149C3" w:rsidP="00E71B31">
            <w:pPr>
              <w:widowControl/>
              <w:spacing w:line="400" w:lineRule="exact"/>
              <w:rPr>
                <w:rFonts w:ascii="Times New Roman" w:eastAsia="仿宋_GB2312" w:hAnsi="Times New Roman"/>
                <w:sz w:val="24"/>
              </w:rPr>
            </w:pPr>
            <w:r w:rsidRPr="008F5F81">
              <w:rPr>
                <w:rFonts w:ascii="Times New Roman" w:eastAsia="仿宋_GB2312" w:hAnsi="Times New Roman"/>
                <w:sz w:val="24"/>
              </w:rPr>
              <w:t>农业，畜牧业，农、林、牧、渔服务业，纺织服装、服饰业，皮革、毛皮、羽毛及其制品和制鞋业，印刷和记录媒介复制业，医药制造业，化学纤维制造业，橡胶和塑料制品业，金属制品业，通用设备制造业，专用设备制造业，汽车制造业，铁路、船舶、航空航天和其他运输设备制造业，电气机械和器材制造业，废弃资源综合利用业，金属制品、机械和设备修理业，电力、热力生产和供应业，燃</w:t>
            </w:r>
            <w:r w:rsidRPr="008F5F81">
              <w:rPr>
                <w:rFonts w:ascii="Times New Roman" w:eastAsia="仿宋_GB2312" w:hAnsi="Times New Roman"/>
                <w:sz w:val="24"/>
              </w:rPr>
              <w:lastRenderedPageBreak/>
              <w:t>气生产和供应业，铁路运输业，航空运输业，管道运输业，体育</w:t>
            </w:r>
          </w:p>
        </w:tc>
        <w:tc>
          <w:tcPr>
            <w:tcW w:w="1276" w:type="dxa"/>
            <w:tcBorders>
              <w:top w:val="single" w:sz="4" w:space="0" w:color="auto"/>
              <w:bottom w:val="single" w:sz="4" w:space="0" w:color="auto"/>
              <w:right w:val="single" w:sz="4" w:space="0" w:color="auto"/>
            </w:tcBorders>
            <w:shd w:val="clear" w:color="auto" w:fill="auto"/>
            <w:vAlign w:val="center"/>
          </w:tcPr>
          <w:p w:rsidR="005149C3" w:rsidRPr="008F5F81" w:rsidRDefault="005149C3" w:rsidP="00E71B31">
            <w:pPr>
              <w:spacing w:line="400" w:lineRule="exact"/>
              <w:jc w:val="center"/>
              <w:rPr>
                <w:rFonts w:ascii="Times New Roman" w:eastAsia="仿宋_GB2312" w:hAnsi="Times New Roman"/>
                <w:sz w:val="24"/>
              </w:rPr>
            </w:pPr>
            <w:r w:rsidRPr="008F5F81">
              <w:rPr>
                <w:rFonts w:ascii="Times New Roman" w:eastAsia="仿宋_GB2312" w:hAnsi="Times New Roman"/>
                <w:sz w:val="24"/>
              </w:rPr>
              <w:lastRenderedPageBreak/>
              <w:t>0.9%</w:t>
            </w:r>
          </w:p>
        </w:tc>
      </w:tr>
      <w:tr w:rsidR="005149C3" w:rsidRPr="008F5F81" w:rsidTr="00E71B31">
        <w:trPr>
          <w:trHeight w:val="586"/>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149C3" w:rsidRPr="008F5F81" w:rsidRDefault="005149C3" w:rsidP="00E71B31">
            <w:pPr>
              <w:widowControl/>
              <w:spacing w:line="400" w:lineRule="exact"/>
              <w:jc w:val="center"/>
              <w:rPr>
                <w:rFonts w:ascii="Times New Roman" w:eastAsia="仿宋_GB2312" w:hAnsi="Times New Roman"/>
                <w:sz w:val="24"/>
              </w:rPr>
            </w:pPr>
            <w:r w:rsidRPr="008F5F81">
              <w:rPr>
                <w:rFonts w:ascii="Times New Roman" w:eastAsia="仿宋_GB2312" w:hAnsi="Times New Roman"/>
                <w:sz w:val="24"/>
              </w:rPr>
              <w:lastRenderedPageBreak/>
              <w:t>五</w:t>
            </w:r>
          </w:p>
        </w:tc>
        <w:tc>
          <w:tcPr>
            <w:tcW w:w="6157" w:type="dxa"/>
            <w:tcBorders>
              <w:top w:val="single" w:sz="4" w:space="0" w:color="000000"/>
              <w:left w:val="nil"/>
              <w:bottom w:val="single" w:sz="4" w:space="0" w:color="000000"/>
              <w:right w:val="single" w:sz="4" w:space="0" w:color="000000"/>
            </w:tcBorders>
          </w:tcPr>
          <w:p w:rsidR="005149C3" w:rsidRPr="008F5F81" w:rsidRDefault="005149C3" w:rsidP="00E71B31">
            <w:pPr>
              <w:widowControl/>
              <w:spacing w:line="400" w:lineRule="exact"/>
              <w:rPr>
                <w:rFonts w:ascii="Times New Roman" w:eastAsia="仿宋_GB2312" w:hAnsi="Times New Roman"/>
                <w:sz w:val="24"/>
              </w:rPr>
            </w:pPr>
            <w:r w:rsidRPr="008F5F81">
              <w:rPr>
                <w:rFonts w:ascii="Times New Roman" w:eastAsia="仿宋_GB2312" w:hAnsi="Times New Roman"/>
                <w:sz w:val="24"/>
              </w:rPr>
              <w:t>林业，开采辅助活动，家具制造业，造纸和纸制品业，建筑安装业，建筑装饰和其他建筑业，道路运输业，水上运输业，装卸搬运和运输代理业</w:t>
            </w:r>
          </w:p>
        </w:tc>
        <w:tc>
          <w:tcPr>
            <w:tcW w:w="1276" w:type="dxa"/>
            <w:tcBorders>
              <w:top w:val="single" w:sz="4" w:space="0" w:color="auto"/>
              <w:bottom w:val="single" w:sz="4" w:space="0" w:color="auto"/>
              <w:right w:val="single" w:sz="4" w:space="0" w:color="auto"/>
            </w:tcBorders>
            <w:shd w:val="clear" w:color="auto" w:fill="auto"/>
            <w:vAlign w:val="center"/>
          </w:tcPr>
          <w:p w:rsidR="005149C3" w:rsidRPr="008F5F81" w:rsidRDefault="005149C3" w:rsidP="00E71B31">
            <w:pPr>
              <w:widowControl/>
              <w:spacing w:line="400" w:lineRule="exact"/>
              <w:jc w:val="center"/>
              <w:rPr>
                <w:rFonts w:ascii="Times New Roman" w:eastAsia="仿宋_GB2312" w:hAnsi="Times New Roman"/>
                <w:sz w:val="24"/>
              </w:rPr>
            </w:pPr>
            <w:r w:rsidRPr="008F5F81">
              <w:rPr>
                <w:rFonts w:ascii="Times New Roman" w:eastAsia="仿宋_GB2312" w:hAnsi="Times New Roman"/>
                <w:sz w:val="24"/>
              </w:rPr>
              <w:t>1.1%</w:t>
            </w:r>
          </w:p>
        </w:tc>
      </w:tr>
      <w:tr w:rsidR="005149C3" w:rsidRPr="008F5F81" w:rsidTr="00E71B31">
        <w:trPr>
          <w:trHeight w:val="802"/>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149C3" w:rsidRPr="008F5F81" w:rsidRDefault="005149C3" w:rsidP="00E71B31">
            <w:pPr>
              <w:widowControl/>
              <w:spacing w:line="400" w:lineRule="exact"/>
              <w:jc w:val="center"/>
              <w:rPr>
                <w:rFonts w:ascii="Times New Roman" w:eastAsia="仿宋_GB2312" w:hAnsi="Times New Roman"/>
                <w:sz w:val="24"/>
              </w:rPr>
            </w:pPr>
            <w:r w:rsidRPr="008F5F81">
              <w:rPr>
                <w:rFonts w:ascii="Times New Roman" w:eastAsia="仿宋_GB2312" w:hAnsi="Times New Roman"/>
                <w:sz w:val="24"/>
              </w:rPr>
              <w:t>六</w:t>
            </w:r>
          </w:p>
        </w:tc>
        <w:tc>
          <w:tcPr>
            <w:tcW w:w="6157" w:type="dxa"/>
            <w:tcBorders>
              <w:top w:val="single" w:sz="4" w:space="0" w:color="000000"/>
              <w:left w:val="nil"/>
              <w:bottom w:val="single" w:sz="4" w:space="0" w:color="auto"/>
              <w:right w:val="single" w:sz="4" w:space="0" w:color="000000"/>
            </w:tcBorders>
          </w:tcPr>
          <w:p w:rsidR="005149C3" w:rsidRPr="008F5F81" w:rsidRDefault="005149C3" w:rsidP="00E71B31">
            <w:pPr>
              <w:widowControl/>
              <w:spacing w:line="400" w:lineRule="exact"/>
              <w:rPr>
                <w:rFonts w:ascii="Times New Roman" w:eastAsia="仿宋_GB2312" w:hAnsi="Times New Roman"/>
                <w:sz w:val="24"/>
              </w:rPr>
            </w:pPr>
            <w:r w:rsidRPr="008F5F81">
              <w:rPr>
                <w:rFonts w:ascii="Times New Roman" w:eastAsia="仿宋_GB2312" w:hAnsi="Times New Roman"/>
                <w:sz w:val="24"/>
              </w:rPr>
              <w:t>渔业，化学原料和化学制品制造业，非金属矿物制品业，黑色金属冶炼和压延加工业，有色金属冶炼和压延加工业，房屋建筑业，土木工程建筑业</w:t>
            </w:r>
          </w:p>
        </w:tc>
        <w:tc>
          <w:tcPr>
            <w:tcW w:w="1276" w:type="dxa"/>
            <w:tcBorders>
              <w:top w:val="single" w:sz="4" w:space="0" w:color="auto"/>
              <w:bottom w:val="single" w:sz="4" w:space="0" w:color="auto"/>
              <w:right w:val="single" w:sz="4" w:space="0" w:color="auto"/>
            </w:tcBorders>
            <w:shd w:val="clear" w:color="auto" w:fill="auto"/>
            <w:vAlign w:val="center"/>
          </w:tcPr>
          <w:p w:rsidR="005149C3" w:rsidRPr="008F5F81" w:rsidRDefault="005149C3" w:rsidP="00E71B31">
            <w:pPr>
              <w:widowControl/>
              <w:spacing w:line="400" w:lineRule="exact"/>
              <w:jc w:val="center"/>
              <w:rPr>
                <w:rFonts w:ascii="Times New Roman" w:eastAsia="仿宋_GB2312" w:hAnsi="Times New Roman"/>
                <w:sz w:val="24"/>
              </w:rPr>
            </w:pPr>
            <w:r w:rsidRPr="008F5F81">
              <w:rPr>
                <w:rFonts w:ascii="Times New Roman" w:eastAsia="仿宋_GB2312" w:hAnsi="Times New Roman"/>
                <w:sz w:val="24"/>
              </w:rPr>
              <w:t>1.</w:t>
            </w:r>
            <w:r w:rsidRPr="008F5F81">
              <w:rPr>
                <w:rFonts w:ascii="Times New Roman" w:eastAsia="仿宋_GB2312" w:hAnsi="Times New Roman" w:hint="eastAsia"/>
                <w:sz w:val="24"/>
              </w:rPr>
              <w:t>3</w:t>
            </w:r>
            <w:r w:rsidRPr="008F5F81">
              <w:rPr>
                <w:rFonts w:ascii="Times New Roman" w:eastAsia="仿宋_GB2312" w:hAnsi="Times New Roman"/>
                <w:sz w:val="24"/>
              </w:rPr>
              <w:t>%</w:t>
            </w:r>
          </w:p>
        </w:tc>
      </w:tr>
      <w:tr w:rsidR="005149C3" w:rsidRPr="008F5F81" w:rsidTr="00E71B31">
        <w:trPr>
          <w:trHeight w:val="381"/>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149C3" w:rsidRPr="008F5F81" w:rsidRDefault="005149C3" w:rsidP="00E71B31">
            <w:pPr>
              <w:widowControl/>
              <w:spacing w:line="400" w:lineRule="exact"/>
              <w:jc w:val="center"/>
              <w:rPr>
                <w:rFonts w:ascii="Times New Roman" w:eastAsia="仿宋_GB2312" w:hAnsi="Times New Roman"/>
                <w:sz w:val="24"/>
              </w:rPr>
            </w:pPr>
            <w:r w:rsidRPr="008F5F81">
              <w:rPr>
                <w:rFonts w:ascii="Times New Roman" w:eastAsia="仿宋_GB2312" w:hAnsi="Times New Roman"/>
                <w:sz w:val="24"/>
              </w:rPr>
              <w:t>七</w:t>
            </w:r>
          </w:p>
        </w:tc>
        <w:tc>
          <w:tcPr>
            <w:tcW w:w="6157" w:type="dxa"/>
            <w:tcBorders>
              <w:top w:val="single" w:sz="4" w:space="0" w:color="000000"/>
              <w:left w:val="nil"/>
              <w:bottom w:val="single" w:sz="4" w:space="0" w:color="000000"/>
              <w:right w:val="single" w:sz="4" w:space="0" w:color="000000"/>
            </w:tcBorders>
          </w:tcPr>
          <w:p w:rsidR="005149C3" w:rsidRPr="008F5F81" w:rsidRDefault="005149C3" w:rsidP="00E71B31">
            <w:pPr>
              <w:widowControl/>
              <w:spacing w:line="400" w:lineRule="exact"/>
              <w:rPr>
                <w:rFonts w:ascii="Times New Roman" w:eastAsia="仿宋_GB2312" w:hAnsi="Times New Roman"/>
                <w:sz w:val="24"/>
              </w:rPr>
            </w:pPr>
            <w:r w:rsidRPr="008F5F81">
              <w:rPr>
                <w:rFonts w:ascii="Times New Roman" w:eastAsia="仿宋_GB2312" w:hAnsi="Times New Roman"/>
                <w:sz w:val="24"/>
              </w:rPr>
              <w:t>石油和天然气开采业，其他采矿业，石油加工、炼焦和核燃料加工业</w:t>
            </w:r>
          </w:p>
        </w:tc>
        <w:tc>
          <w:tcPr>
            <w:tcW w:w="1276" w:type="dxa"/>
            <w:tcBorders>
              <w:top w:val="single" w:sz="4" w:space="0" w:color="auto"/>
              <w:bottom w:val="single" w:sz="4" w:space="0" w:color="auto"/>
              <w:right w:val="single" w:sz="4" w:space="0" w:color="auto"/>
            </w:tcBorders>
            <w:shd w:val="clear" w:color="auto" w:fill="auto"/>
            <w:vAlign w:val="center"/>
          </w:tcPr>
          <w:p w:rsidR="005149C3" w:rsidRPr="008F5F81" w:rsidRDefault="005149C3" w:rsidP="00E71B31">
            <w:pPr>
              <w:widowControl/>
              <w:spacing w:line="400" w:lineRule="exact"/>
              <w:jc w:val="center"/>
              <w:rPr>
                <w:rFonts w:ascii="Times New Roman" w:eastAsia="仿宋_GB2312" w:hAnsi="Times New Roman"/>
                <w:sz w:val="24"/>
              </w:rPr>
            </w:pPr>
            <w:r w:rsidRPr="008F5F81">
              <w:rPr>
                <w:rFonts w:ascii="Times New Roman" w:eastAsia="仿宋_GB2312" w:hAnsi="Times New Roman"/>
                <w:sz w:val="24"/>
              </w:rPr>
              <w:t>1.</w:t>
            </w:r>
            <w:r w:rsidRPr="008F5F81">
              <w:rPr>
                <w:rFonts w:ascii="Times New Roman" w:eastAsia="仿宋_GB2312" w:hAnsi="Times New Roman" w:hint="eastAsia"/>
                <w:sz w:val="24"/>
              </w:rPr>
              <w:t>6</w:t>
            </w:r>
            <w:r w:rsidRPr="008F5F81">
              <w:rPr>
                <w:rFonts w:ascii="Times New Roman" w:eastAsia="仿宋_GB2312" w:hAnsi="Times New Roman"/>
                <w:sz w:val="24"/>
              </w:rPr>
              <w:t>%</w:t>
            </w:r>
          </w:p>
        </w:tc>
      </w:tr>
      <w:tr w:rsidR="005149C3" w:rsidRPr="008F5F81" w:rsidTr="00E71B31">
        <w:trPr>
          <w:trHeight w:val="613"/>
          <w:jc w:val="center"/>
        </w:trPr>
        <w:tc>
          <w:tcPr>
            <w:tcW w:w="838" w:type="dxa"/>
            <w:tcBorders>
              <w:top w:val="single" w:sz="4" w:space="0" w:color="000000"/>
              <w:left w:val="single" w:sz="4" w:space="0" w:color="000000"/>
              <w:bottom w:val="single" w:sz="4" w:space="0" w:color="000000"/>
              <w:right w:val="single" w:sz="4" w:space="0" w:color="000000"/>
            </w:tcBorders>
            <w:vAlign w:val="center"/>
          </w:tcPr>
          <w:p w:rsidR="005149C3" w:rsidRPr="008F5F81" w:rsidRDefault="005149C3" w:rsidP="00E71B31">
            <w:pPr>
              <w:widowControl/>
              <w:spacing w:line="400" w:lineRule="exact"/>
              <w:jc w:val="center"/>
              <w:rPr>
                <w:rFonts w:ascii="Times New Roman" w:eastAsia="仿宋_GB2312" w:hAnsi="Times New Roman"/>
                <w:sz w:val="24"/>
              </w:rPr>
            </w:pPr>
            <w:r w:rsidRPr="008F5F81">
              <w:rPr>
                <w:rFonts w:ascii="Times New Roman" w:eastAsia="仿宋_GB2312" w:hAnsi="Times New Roman"/>
                <w:sz w:val="24"/>
              </w:rPr>
              <w:t>八</w:t>
            </w:r>
          </w:p>
        </w:tc>
        <w:tc>
          <w:tcPr>
            <w:tcW w:w="6157" w:type="dxa"/>
            <w:tcBorders>
              <w:top w:val="single" w:sz="4" w:space="0" w:color="000000"/>
              <w:left w:val="nil"/>
              <w:bottom w:val="single" w:sz="4" w:space="0" w:color="000000"/>
              <w:right w:val="single" w:sz="4" w:space="0" w:color="000000"/>
            </w:tcBorders>
          </w:tcPr>
          <w:p w:rsidR="005149C3" w:rsidRPr="008F5F81" w:rsidRDefault="005149C3" w:rsidP="00E71B31">
            <w:pPr>
              <w:widowControl/>
              <w:spacing w:line="400" w:lineRule="exact"/>
              <w:rPr>
                <w:rFonts w:ascii="Times New Roman" w:eastAsia="仿宋_GB2312" w:hAnsi="Times New Roman"/>
                <w:sz w:val="24"/>
              </w:rPr>
            </w:pPr>
            <w:r w:rsidRPr="008F5F81">
              <w:rPr>
                <w:rFonts w:ascii="Times New Roman" w:eastAsia="仿宋_GB2312" w:hAnsi="Times New Roman"/>
                <w:sz w:val="24"/>
              </w:rPr>
              <w:t>煤炭开采和洗选业，黑色金属矿采选业，有色金属矿采选业，非金属矿采选业</w:t>
            </w:r>
          </w:p>
        </w:tc>
        <w:tc>
          <w:tcPr>
            <w:tcW w:w="1276" w:type="dxa"/>
            <w:tcBorders>
              <w:top w:val="single" w:sz="4" w:space="0" w:color="auto"/>
              <w:bottom w:val="single" w:sz="4" w:space="0" w:color="auto"/>
              <w:right w:val="single" w:sz="4" w:space="0" w:color="auto"/>
            </w:tcBorders>
            <w:shd w:val="clear" w:color="auto" w:fill="auto"/>
            <w:vAlign w:val="center"/>
          </w:tcPr>
          <w:p w:rsidR="005149C3" w:rsidRPr="008F5F81" w:rsidRDefault="005149C3" w:rsidP="00E71B31">
            <w:pPr>
              <w:widowControl/>
              <w:spacing w:line="400" w:lineRule="exact"/>
              <w:jc w:val="center"/>
              <w:rPr>
                <w:rFonts w:ascii="Times New Roman" w:eastAsia="仿宋_GB2312" w:hAnsi="Times New Roman"/>
                <w:sz w:val="24"/>
              </w:rPr>
            </w:pPr>
            <w:r w:rsidRPr="008F5F81">
              <w:rPr>
                <w:rFonts w:ascii="Times New Roman" w:eastAsia="仿宋_GB2312" w:hAnsi="Times New Roman"/>
                <w:sz w:val="24"/>
              </w:rPr>
              <w:t>1.</w:t>
            </w:r>
            <w:r w:rsidRPr="008F5F81">
              <w:rPr>
                <w:rFonts w:ascii="Times New Roman" w:eastAsia="仿宋_GB2312" w:hAnsi="Times New Roman" w:hint="eastAsia"/>
                <w:sz w:val="24"/>
              </w:rPr>
              <w:t>9</w:t>
            </w:r>
            <w:r w:rsidRPr="008F5F81">
              <w:rPr>
                <w:rFonts w:ascii="Times New Roman" w:eastAsia="仿宋_GB2312" w:hAnsi="Times New Roman"/>
                <w:sz w:val="24"/>
              </w:rPr>
              <w:t>%</w:t>
            </w:r>
          </w:p>
        </w:tc>
      </w:tr>
    </w:tbl>
    <w:p w:rsidR="005149C3" w:rsidRPr="007E40B7" w:rsidRDefault="005149C3" w:rsidP="005149C3">
      <w:pPr>
        <w:rPr>
          <w:rFonts w:hint="eastAsia"/>
          <w:sz w:val="32"/>
          <w:szCs w:val="32"/>
        </w:rPr>
      </w:pPr>
    </w:p>
    <w:p w:rsidR="005149C3" w:rsidRPr="0037382A" w:rsidRDefault="005149C3" w:rsidP="005149C3"/>
    <w:p w:rsidR="005149C3" w:rsidRDefault="005149C3" w:rsidP="005149C3"/>
    <w:p w:rsidR="005149C3" w:rsidRDefault="005149C3" w:rsidP="005149C3"/>
    <w:p w:rsidR="005149C3" w:rsidRPr="00510A59" w:rsidRDefault="005149C3" w:rsidP="005149C3">
      <w:pPr>
        <w:rPr>
          <w:rFonts w:hint="eastAsia"/>
          <w:sz w:val="32"/>
          <w:szCs w:val="32"/>
        </w:rPr>
      </w:pPr>
    </w:p>
    <w:p w:rsidR="001E52E5" w:rsidRDefault="001E52E5">
      <w:bookmarkStart w:id="0" w:name="_GoBack"/>
      <w:bookmarkEnd w:id="0"/>
    </w:p>
    <w:sectPr w:rsidR="001E52E5" w:rsidSect="004F6E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A9E" w:rsidRDefault="008D5A9E" w:rsidP="005149C3">
      <w:r>
        <w:separator/>
      </w:r>
    </w:p>
  </w:endnote>
  <w:endnote w:type="continuationSeparator" w:id="0">
    <w:p w:rsidR="008D5A9E" w:rsidRDefault="008D5A9E" w:rsidP="0051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A9E" w:rsidRDefault="008D5A9E" w:rsidP="005149C3">
      <w:r>
        <w:separator/>
      </w:r>
    </w:p>
  </w:footnote>
  <w:footnote w:type="continuationSeparator" w:id="0">
    <w:p w:rsidR="008D5A9E" w:rsidRDefault="008D5A9E" w:rsidP="00514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74"/>
    <w:rsid w:val="00007F0A"/>
    <w:rsid w:val="000F6997"/>
    <w:rsid w:val="00121811"/>
    <w:rsid w:val="00152249"/>
    <w:rsid w:val="001A6609"/>
    <w:rsid w:val="001E52E5"/>
    <w:rsid w:val="0029355A"/>
    <w:rsid w:val="002E353B"/>
    <w:rsid w:val="00375897"/>
    <w:rsid w:val="00405B74"/>
    <w:rsid w:val="004E032C"/>
    <w:rsid w:val="005149C3"/>
    <w:rsid w:val="00530227"/>
    <w:rsid w:val="005766AF"/>
    <w:rsid w:val="005F3427"/>
    <w:rsid w:val="0062534A"/>
    <w:rsid w:val="00657AAF"/>
    <w:rsid w:val="0078473F"/>
    <w:rsid w:val="00811D90"/>
    <w:rsid w:val="00861499"/>
    <w:rsid w:val="008D5A9E"/>
    <w:rsid w:val="008E468F"/>
    <w:rsid w:val="00A60B04"/>
    <w:rsid w:val="00B242A4"/>
    <w:rsid w:val="00BD61AB"/>
    <w:rsid w:val="00C27E2F"/>
    <w:rsid w:val="00CB1504"/>
    <w:rsid w:val="00CF435F"/>
    <w:rsid w:val="00D45C95"/>
    <w:rsid w:val="00E140DB"/>
    <w:rsid w:val="00ED71EC"/>
    <w:rsid w:val="00F14A1D"/>
    <w:rsid w:val="00F27295"/>
    <w:rsid w:val="00FE4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49C3"/>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149C3"/>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3"/>
    <w:rsid w:val="005149C3"/>
    <w:rPr>
      <w:kern w:val="2"/>
      <w:sz w:val="18"/>
      <w:szCs w:val="18"/>
    </w:rPr>
  </w:style>
  <w:style w:type="paragraph" w:styleId="a4">
    <w:name w:val="footer"/>
    <w:basedOn w:val="a"/>
    <w:link w:val="Char0"/>
    <w:rsid w:val="005149C3"/>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4"/>
    <w:rsid w:val="005149C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49C3"/>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149C3"/>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3"/>
    <w:rsid w:val="005149C3"/>
    <w:rPr>
      <w:kern w:val="2"/>
      <w:sz w:val="18"/>
      <w:szCs w:val="18"/>
    </w:rPr>
  </w:style>
  <w:style w:type="paragraph" w:styleId="a4">
    <w:name w:val="footer"/>
    <w:basedOn w:val="a"/>
    <w:link w:val="Char0"/>
    <w:rsid w:val="005149C3"/>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4"/>
    <w:rsid w:val="005149C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348</Words>
  <Characters>1986</Characters>
  <Application>Microsoft Office Word</Application>
  <DocSecurity>0</DocSecurity>
  <Lines>16</Lines>
  <Paragraphs>4</Paragraphs>
  <ScaleCrop>false</ScaleCrop>
  <Company>china</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骆乐</dc:creator>
  <cp:keywords/>
  <dc:description/>
  <cp:lastModifiedBy>骆乐</cp:lastModifiedBy>
  <cp:revision>2</cp:revision>
  <dcterms:created xsi:type="dcterms:W3CDTF">2019-06-28T06:19:00Z</dcterms:created>
  <dcterms:modified xsi:type="dcterms:W3CDTF">2019-06-28T06:19:00Z</dcterms:modified>
</cp:coreProperties>
</file>